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5F33EF6" w14:textId="6D8DF16C" w:rsidR="00D11AD1" w:rsidRDefault="00D11AD1" w:rsidP="00D11AD1">
      <w:pPr>
        <w:pStyle w:val="CRCoverPage"/>
        <w:tabs>
          <w:tab w:val="right" w:pos="9639"/>
        </w:tabs>
        <w:spacing w:after="0"/>
        <w:rPr>
          <w:b/>
          <w:noProof/>
          <w:sz w:val="24"/>
        </w:rPr>
      </w:pPr>
      <w:bookmarkStart w:id="0" w:name="_Ref462675860"/>
      <w:bookmarkStart w:id="1" w:name="_Ref465963108"/>
      <w:r w:rsidRPr="00FB346E">
        <w:rPr>
          <w:b/>
          <w:noProof/>
          <w:sz w:val="24"/>
        </w:rPr>
        <w:t>3GPP TSG-RAN4 Meeting #1</w:t>
      </w:r>
      <w:r>
        <w:rPr>
          <w:b/>
          <w:noProof/>
          <w:sz w:val="24"/>
        </w:rPr>
        <w:t>12</w:t>
      </w:r>
      <w:r w:rsidRPr="0033027D">
        <w:rPr>
          <w:b/>
          <w:noProof/>
          <w:sz w:val="24"/>
        </w:rPr>
        <w:tab/>
      </w:r>
      <w:r w:rsidRPr="007B480F">
        <w:rPr>
          <w:b/>
          <w:noProof/>
          <w:sz w:val="24"/>
        </w:rPr>
        <w:t>R4-24</w:t>
      </w:r>
      <w:r w:rsidR="00742660">
        <w:rPr>
          <w:b/>
          <w:noProof/>
          <w:sz w:val="24"/>
        </w:rPr>
        <w:t>11512</w:t>
      </w:r>
    </w:p>
    <w:p w14:paraId="4FC3265A" w14:textId="77777777" w:rsidR="00D11AD1" w:rsidRPr="00B144E9" w:rsidRDefault="00D11AD1" w:rsidP="00D11AD1">
      <w:pPr>
        <w:rPr>
          <w:rFonts w:ascii="Arial" w:hAnsi="Arial" w:cs="Arial"/>
          <w:b/>
          <w:noProof/>
          <w:sz w:val="24"/>
          <w:szCs w:val="24"/>
        </w:rPr>
      </w:pPr>
      <w:r>
        <w:rPr>
          <w:rFonts w:ascii="Arial" w:hAnsi="Arial" w:cs="Arial"/>
          <w:b/>
          <w:sz w:val="24"/>
          <w:szCs w:val="24"/>
          <w:lang w:eastAsia="zh-CN"/>
        </w:rPr>
        <w:t>Maastricht</w:t>
      </w:r>
      <w:r w:rsidRPr="0052514D">
        <w:rPr>
          <w:rFonts w:ascii="Arial" w:hAnsi="Arial" w:cs="Arial"/>
          <w:b/>
          <w:sz w:val="24"/>
          <w:szCs w:val="24"/>
          <w:lang w:eastAsia="zh-CN"/>
        </w:rPr>
        <w:t xml:space="preserve">, </w:t>
      </w:r>
      <w:r>
        <w:rPr>
          <w:rFonts w:ascii="Arial" w:hAnsi="Arial" w:cs="Arial"/>
          <w:b/>
          <w:sz w:val="24"/>
          <w:szCs w:val="24"/>
          <w:lang w:eastAsia="zh-CN"/>
        </w:rPr>
        <w:t>Netherlands</w:t>
      </w:r>
      <w:r w:rsidRPr="0052514D">
        <w:rPr>
          <w:rFonts w:ascii="Arial" w:hAnsi="Arial" w:cs="Arial"/>
          <w:b/>
          <w:sz w:val="24"/>
          <w:szCs w:val="24"/>
          <w:lang w:eastAsia="zh-CN"/>
        </w:rPr>
        <w:t xml:space="preserve">, </w:t>
      </w:r>
      <w:r>
        <w:rPr>
          <w:rFonts w:ascii="Arial" w:hAnsi="Arial" w:cs="Arial"/>
          <w:b/>
          <w:sz w:val="24"/>
          <w:szCs w:val="24"/>
          <w:lang w:eastAsia="zh-CN"/>
        </w:rPr>
        <w:t>21</w:t>
      </w:r>
      <w:r w:rsidRPr="0052514D">
        <w:rPr>
          <w:rFonts w:ascii="Arial" w:hAnsi="Arial" w:cs="Arial"/>
          <w:b/>
          <w:sz w:val="24"/>
          <w:szCs w:val="24"/>
          <w:vertAlign w:val="superscript"/>
          <w:lang w:eastAsia="zh-CN"/>
        </w:rPr>
        <w:t>st</w:t>
      </w:r>
      <w:r w:rsidRPr="0052514D">
        <w:rPr>
          <w:rFonts w:ascii="Arial" w:hAnsi="Arial" w:cs="Arial"/>
          <w:b/>
          <w:sz w:val="24"/>
          <w:szCs w:val="24"/>
          <w:lang w:eastAsia="zh-CN"/>
        </w:rPr>
        <w:t xml:space="preserve"> – 2</w:t>
      </w:r>
      <w:r>
        <w:rPr>
          <w:rFonts w:ascii="Arial" w:hAnsi="Arial" w:cs="Arial"/>
          <w:b/>
          <w:sz w:val="24"/>
          <w:szCs w:val="24"/>
          <w:lang w:eastAsia="zh-CN"/>
        </w:rPr>
        <w:t>5</w:t>
      </w:r>
      <w:r w:rsidRPr="0052514D">
        <w:rPr>
          <w:rFonts w:ascii="Arial" w:hAnsi="Arial" w:cs="Arial"/>
          <w:b/>
          <w:sz w:val="24"/>
          <w:szCs w:val="24"/>
          <w:vertAlign w:val="superscript"/>
          <w:lang w:eastAsia="zh-CN"/>
        </w:rPr>
        <w:t>th</w:t>
      </w:r>
      <w:r w:rsidRPr="0052514D">
        <w:rPr>
          <w:rFonts w:ascii="Arial" w:hAnsi="Arial" w:cs="Arial"/>
          <w:b/>
          <w:sz w:val="24"/>
          <w:szCs w:val="24"/>
          <w:lang w:eastAsia="zh-CN"/>
        </w:rPr>
        <w:t xml:space="preserve"> </w:t>
      </w:r>
      <w:r>
        <w:rPr>
          <w:rFonts w:ascii="Arial" w:hAnsi="Arial" w:cs="Arial"/>
          <w:b/>
          <w:sz w:val="24"/>
          <w:szCs w:val="24"/>
          <w:lang w:eastAsia="zh-CN"/>
        </w:rPr>
        <w:t>August</w:t>
      </w:r>
      <w:r w:rsidRPr="0052514D">
        <w:rPr>
          <w:rFonts w:ascii="Arial" w:hAnsi="Arial" w:cs="Arial"/>
          <w:b/>
          <w:sz w:val="24"/>
          <w:szCs w:val="24"/>
          <w:lang w:eastAsia="zh-CN"/>
        </w:rPr>
        <w:t>, 2024</w:t>
      </w:r>
      <w:r>
        <w:rPr>
          <w:rFonts w:cs="Arial"/>
          <w:b/>
          <w:sz w:val="24"/>
        </w:rPr>
        <w:br/>
      </w:r>
    </w:p>
    <w:p w14:paraId="57140F35" w14:textId="052E3B8A" w:rsidR="001E257C" w:rsidRPr="00785E35" w:rsidRDefault="001E257C" w:rsidP="001E257C">
      <w:pPr>
        <w:tabs>
          <w:tab w:val="left" w:pos="1985"/>
        </w:tabs>
        <w:jc w:val="both"/>
        <w:rPr>
          <w:rFonts w:ascii="Arial" w:hAnsi="Arial"/>
          <w:sz w:val="24"/>
        </w:rPr>
      </w:pPr>
      <w:r w:rsidRPr="00785E35">
        <w:rPr>
          <w:rFonts w:ascii="Arial" w:hAnsi="Arial"/>
          <w:b/>
          <w:sz w:val="24"/>
        </w:rPr>
        <w:t>Agenda item:</w:t>
      </w:r>
      <w:r w:rsidRPr="00785E35">
        <w:rPr>
          <w:rFonts w:ascii="Arial" w:hAnsi="Arial"/>
          <w:sz w:val="24"/>
        </w:rPr>
        <w:tab/>
      </w:r>
      <w:bookmarkStart w:id="2" w:name="Source"/>
      <w:bookmarkEnd w:id="2"/>
      <w:r>
        <w:rPr>
          <w:rFonts w:ascii="Arial" w:hAnsi="Arial"/>
          <w:sz w:val="24"/>
        </w:rPr>
        <w:t>8.1</w:t>
      </w:r>
      <w:r w:rsidR="00292D47">
        <w:rPr>
          <w:rFonts w:ascii="Arial" w:hAnsi="Arial"/>
          <w:sz w:val="24"/>
        </w:rPr>
        <w:t>9</w:t>
      </w:r>
      <w:r>
        <w:rPr>
          <w:rFonts w:ascii="Arial" w:hAnsi="Arial"/>
          <w:sz w:val="24"/>
        </w:rPr>
        <w:t>.1</w:t>
      </w:r>
    </w:p>
    <w:p w14:paraId="37983D58" w14:textId="77777777" w:rsidR="001E257C" w:rsidRPr="00785E35" w:rsidRDefault="001E257C" w:rsidP="001E257C">
      <w:pPr>
        <w:tabs>
          <w:tab w:val="left" w:pos="1985"/>
        </w:tabs>
        <w:jc w:val="both"/>
        <w:rPr>
          <w:rFonts w:ascii="Arial" w:hAnsi="Arial"/>
          <w:sz w:val="24"/>
        </w:rPr>
      </w:pPr>
      <w:r w:rsidRPr="00785E35">
        <w:rPr>
          <w:rFonts w:ascii="Arial" w:hAnsi="Arial"/>
          <w:b/>
          <w:sz w:val="24"/>
        </w:rPr>
        <w:t xml:space="preserve">Source: </w:t>
      </w:r>
      <w:r w:rsidRPr="00785E35">
        <w:rPr>
          <w:rFonts w:ascii="Arial" w:hAnsi="Arial"/>
          <w:b/>
          <w:sz w:val="24"/>
        </w:rPr>
        <w:tab/>
      </w:r>
      <w:r w:rsidRPr="00785E35">
        <w:rPr>
          <w:rFonts w:ascii="Arial" w:hAnsi="Arial"/>
          <w:sz w:val="24"/>
        </w:rPr>
        <w:t>Qualcomm Incorporated</w:t>
      </w:r>
    </w:p>
    <w:p w14:paraId="667631AF" w14:textId="0CD5F176" w:rsidR="001E257C" w:rsidRPr="00785E35" w:rsidRDefault="001E257C" w:rsidP="001E257C">
      <w:pPr>
        <w:ind w:left="1988" w:hanging="1988"/>
        <w:jc w:val="both"/>
        <w:rPr>
          <w:rFonts w:ascii="Arial" w:hAnsi="Arial" w:cs="Arial"/>
          <w:color w:val="000000" w:themeColor="text1"/>
          <w:sz w:val="24"/>
          <w:szCs w:val="24"/>
        </w:rPr>
      </w:pPr>
      <w:r w:rsidRPr="00785E35">
        <w:rPr>
          <w:rFonts w:ascii="Arial" w:hAnsi="Arial"/>
          <w:b/>
          <w:color w:val="000000" w:themeColor="text1"/>
          <w:sz w:val="24"/>
        </w:rPr>
        <w:t>Title:</w:t>
      </w:r>
      <w:r w:rsidRPr="00785E35">
        <w:rPr>
          <w:rFonts w:ascii="Arial" w:hAnsi="Arial"/>
          <w:color w:val="000000" w:themeColor="text1"/>
          <w:sz w:val="24"/>
        </w:rPr>
        <w:t xml:space="preserve"> </w:t>
      </w:r>
      <w:r w:rsidRPr="00785E35">
        <w:rPr>
          <w:rFonts w:ascii="Arial" w:hAnsi="Arial"/>
          <w:color w:val="000000" w:themeColor="text1"/>
          <w:sz w:val="22"/>
        </w:rPr>
        <w:tab/>
      </w:r>
      <w:r>
        <w:rPr>
          <w:rFonts w:ascii="Arial" w:hAnsi="Arial"/>
          <w:sz w:val="24"/>
        </w:rPr>
        <w:t xml:space="preserve">Views on </w:t>
      </w:r>
      <w:r w:rsidR="00C1392C">
        <w:rPr>
          <w:rFonts w:ascii="Arial" w:hAnsi="Arial"/>
          <w:sz w:val="24"/>
        </w:rPr>
        <w:t xml:space="preserve">general aspects </w:t>
      </w:r>
      <w:r>
        <w:rPr>
          <w:rFonts w:ascii="Arial" w:hAnsi="Arial"/>
          <w:sz w:val="24"/>
        </w:rPr>
        <w:t>for SBFD</w:t>
      </w:r>
    </w:p>
    <w:p w14:paraId="5F5CE2CF" w14:textId="77777777" w:rsidR="001E257C" w:rsidRPr="00785E35" w:rsidRDefault="001E257C" w:rsidP="001E257C">
      <w:pPr>
        <w:ind w:left="1988" w:hanging="1988"/>
        <w:jc w:val="both"/>
        <w:rPr>
          <w:rFonts w:ascii="Arial" w:hAnsi="Arial"/>
          <w:sz w:val="24"/>
        </w:rPr>
      </w:pPr>
      <w:r w:rsidRPr="00785E35">
        <w:rPr>
          <w:rFonts w:ascii="Arial" w:hAnsi="Arial"/>
          <w:b/>
          <w:sz w:val="24"/>
        </w:rPr>
        <w:t>Document for:</w:t>
      </w:r>
      <w:r w:rsidRPr="00785E35">
        <w:rPr>
          <w:rFonts w:ascii="Arial" w:hAnsi="Arial"/>
          <w:sz w:val="24"/>
        </w:rPr>
        <w:tab/>
      </w:r>
      <w:bookmarkStart w:id="3" w:name="DocumentFor"/>
      <w:bookmarkEnd w:id="3"/>
      <w:r>
        <w:rPr>
          <w:rFonts w:ascii="Arial" w:hAnsi="Arial"/>
          <w:sz w:val="24"/>
        </w:rPr>
        <w:t xml:space="preserve">Approval </w:t>
      </w:r>
    </w:p>
    <w:p w14:paraId="57A32C14" w14:textId="77777777" w:rsidR="00A37CEF" w:rsidRPr="00785E35" w:rsidRDefault="00A37CEF" w:rsidP="0003651D">
      <w:pPr>
        <w:pStyle w:val="Heading1"/>
        <w:jc w:val="both"/>
      </w:pPr>
      <w:r w:rsidRPr="00785E35">
        <w:t>Introduction</w:t>
      </w:r>
      <w:bookmarkEnd w:id="0"/>
      <w:bookmarkEnd w:id="1"/>
    </w:p>
    <w:p w14:paraId="16D1D869" w14:textId="400BAE13" w:rsidR="00A37CEF" w:rsidRPr="005C6CB9" w:rsidRDefault="00A37CEF" w:rsidP="0003651D">
      <w:pPr>
        <w:spacing w:after="120" w:line="259" w:lineRule="auto"/>
        <w:ind w:right="-101"/>
        <w:jc w:val="both"/>
        <w:rPr>
          <w:rFonts w:eastAsia="Malgun Gothic"/>
          <w:lang w:val="en-CA" w:eastAsia="ko-KR"/>
        </w:rPr>
      </w:pPr>
      <w:r>
        <w:t xml:space="preserve">In </w:t>
      </w:r>
      <w:r w:rsidRPr="00785E35">
        <w:t>RAN#</w:t>
      </w:r>
      <w:r>
        <w:t>102</w:t>
      </w:r>
      <w:r w:rsidRPr="00785E35">
        <w:t xml:space="preserve">, the </w:t>
      </w:r>
      <w:r>
        <w:t>work</w:t>
      </w:r>
      <w:r w:rsidRPr="00785E35">
        <w:t xml:space="preserve"> item on </w:t>
      </w:r>
      <w:r>
        <w:t>e</w:t>
      </w:r>
      <w:r w:rsidRPr="00EB0730">
        <w:t>volution of NR duplex operation</w:t>
      </w:r>
      <w:r w:rsidR="009534D5">
        <w:t xml:space="preserve"> </w:t>
      </w:r>
      <w:r w:rsidRPr="00E95917">
        <w:t>was approved</w:t>
      </w:r>
      <w:r w:rsidRPr="00785E35">
        <w:t xml:space="preserve"> </w:t>
      </w:r>
      <w:r w:rsidRPr="00785E35">
        <w:fldChar w:fldCharType="begin"/>
      </w:r>
      <w:r w:rsidRPr="00785E35">
        <w:instrText xml:space="preserve"> REF _Ref47616084 \n \h </w:instrText>
      </w:r>
      <w:r>
        <w:instrText xml:space="preserve"> \* MERGEFORMAT </w:instrText>
      </w:r>
      <w:r w:rsidRPr="00785E35">
        <w:fldChar w:fldCharType="separate"/>
      </w:r>
      <w:r>
        <w:t>[1]</w:t>
      </w:r>
      <w:r w:rsidRPr="00785E35">
        <w:fldChar w:fldCharType="end"/>
      </w:r>
      <w:r w:rsidRPr="00785E35">
        <w:t>.</w:t>
      </w:r>
      <w:r>
        <w:t xml:space="preserve"> </w:t>
      </w:r>
      <w:r w:rsidR="00F44EF7">
        <w:t xml:space="preserve">From RAN4 </w:t>
      </w:r>
      <w:r w:rsidR="0023172D">
        <w:t xml:space="preserve">RF </w:t>
      </w:r>
      <w:r w:rsidR="00F44EF7">
        <w:t>perspective, t</w:t>
      </w:r>
      <w:r w:rsidRPr="00177BCB">
        <w:t xml:space="preserve">he objective of </w:t>
      </w:r>
      <w:r>
        <w:t xml:space="preserve">the work item is </w:t>
      </w:r>
      <w:r w:rsidR="00E8553E">
        <w:t>as follows:</w:t>
      </w:r>
      <w:r>
        <w:t xml:space="preserve"> </w:t>
      </w:r>
    </w:p>
    <w:tbl>
      <w:tblPr>
        <w:tblStyle w:val="TableGrid"/>
        <w:tblW w:w="0" w:type="auto"/>
        <w:tblLook w:val="04A0" w:firstRow="1" w:lastRow="0" w:firstColumn="1" w:lastColumn="0" w:noHBand="0" w:noVBand="1"/>
      </w:tblPr>
      <w:tblGrid>
        <w:gridCol w:w="9962"/>
      </w:tblGrid>
      <w:tr w:rsidR="00A37CEF" w14:paraId="110D1ACE" w14:textId="77777777" w:rsidTr="00255BB3">
        <w:tc>
          <w:tcPr>
            <w:tcW w:w="9962" w:type="dxa"/>
          </w:tcPr>
          <w:p w14:paraId="0B67DFFB" w14:textId="77777777" w:rsidR="00A37CEF" w:rsidRDefault="00A37CEF" w:rsidP="0003651D">
            <w:pPr>
              <w:spacing w:after="0"/>
              <w:ind w:right="-99"/>
              <w:rPr>
                <w:bCs/>
                <w:lang w:eastAsia="ko-KR"/>
              </w:rPr>
            </w:pPr>
            <w:r>
              <w:rPr>
                <w:rFonts w:hint="eastAsia"/>
                <w:bCs/>
                <w:lang w:eastAsia="ko-KR"/>
              </w:rPr>
              <w:t xml:space="preserve">The objectives are as </w:t>
            </w:r>
            <w:r>
              <w:rPr>
                <w:bCs/>
                <w:lang w:eastAsia="ko-KR"/>
              </w:rPr>
              <w:t>follows</w:t>
            </w:r>
            <w:r>
              <w:rPr>
                <w:rFonts w:hint="eastAsia"/>
                <w:bCs/>
                <w:lang w:eastAsia="ko-KR"/>
              </w:rPr>
              <w:t>:</w:t>
            </w:r>
          </w:p>
          <w:p w14:paraId="2EFF3E7D" w14:textId="5B49ACDB" w:rsidR="00A37CEF" w:rsidRPr="0023172D" w:rsidRDefault="00E8553E" w:rsidP="0003651D">
            <w:pPr>
              <w:numPr>
                <w:ilvl w:val="0"/>
                <w:numId w:val="6"/>
              </w:numPr>
              <w:overflowPunct/>
              <w:autoSpaceDE/>
              <w:autoSpaceDN/>
              <w:adjustRightInd/>
              <w:spacing w:after="160" w:line="256" w:lineRule="auto"/>
              <w:ind w:right="-99"/>
              <w:textAlignment w:val="auto"/>
              <w:rPr>
                <w:rFonts w:eastAsia="Malgun Gothic"/>
                <w:lang w:eastAsia="ko-KR"/>
              </w:rPr>
            </w:pPr>
            <w:r w:rsidRPr="003E0D9F">
              <w:rPr>
                <w:rFonts w:eastAsia="Malgun Gothic"/>
                <w:lang w:eastAsia="ko-KR"/>
              </w:rPr>
              <w:t>Specify BS RF requirements for SBFD operation at gNB [RAN4]</w:t>
            </w:r>
          </w:p>
        </w:tc>
      </w:tr>
    </w:tbl>
    <w:p w14:paraId="3EC9F8B3" w14:textId="77777777" w:rsidR="00A37CEF" w:rsidRPr="00785E35" w:rsidRDefault="00A37CEF" w:rsidP="0003651D">
      <w:pPr>
        <w:jc w:val="both"/>
      </w:pPr>
    </w:p>
    <w:p w14:paraId="6556B6C7" w14:textId="5D555DDA" w:rsidR="00A37CEF" w:rsidRDefault="0023172D" w:rsidP="0003651D">
      <w:pPr>
        <w:jc w:val="both"/>
      </w:pPr>
      <w:r>
        <w:t>In RAN4#11</w:t>
      </w:r>
      <w:r w:rsidR="00581FC7">
        <w:t>1</w:t>
      </w:r>
      <w:r>
        <w:t>, a WF was agreed in [</w:t>
      </w:r>
      <w:r w:rsidR="00C73C7F">
        <w:t>3</w:t>
      </w:r>
      <w:r>
        <w:t>]</w:t>
      </w:r>
      <w:r w:rsidR="001F4CBD">
        <w:t xml:space="preserve"> based on some of the </w:t>
      </w:r>
      <w:r w:rsidR="002B40AF">
        <w:t>topics listed in the moderator summary, that is summarized in [</w:t>
      </w:r>
      <w:r w:rsidR="00C73C7F">
        <w:t>2</w:t>
      </w:r>
      <w:r w:rsidR="002B40AF">
        <w:t>]</w:t>
      </w:r>
      <w:r>
        <w:t xml:space="preserve">. </w:t>
      </w:r>
      <w:r w:rsidR="00A37CEF">
        <w:t xml:space="preserve">In this contribution we </w:t>
      </w:r>
      <w:r w:rsidR="00EB7153">
        <w:t xml:space="preserve">share our views on </w:t>
      </w:r>
      <w:r w:rsidR="006200C5">
        <w:t xml:space="preserve">general </w:t>
      </w:r>
      <w:proofErr w:type="gramStart"/>
      <w:r w:rsidR="006200C5">
        <w:t>aspects for</w:t>
      </w:r>
      <w:proofErr w:type="gramEnd"/>
      <w:r w:rsidR="006200C5">
        <w:t xml:space="preserve"> </w:t>
      </w:r>
      <w:r w:rsidR="00EF49CD">
        <w:t xml:space="preserve">for Rel-19 SBFD WI within RAN4. </w:t>
      </w:r>
    </w:p>
    <w:p w14:paraId="2A384402" w14:textId="7705E459" w:rsidR="00011B8F" w:rsidRPr="002F00FB" w:rsidRDefault="003B2015" w:rsidP="0003651D">
      <w:pPr>
        <w:pStyle w:val="Heading1"/>
        <w:jc w:val="both"/>
        <w:rPr>
          <w:lang w:val="de-DE" w:eastAsia="zh-CN"/>
        </w:rPr>
      </w:pPr>
      <w:bookmarkStart w:id="4" w:name="_Ref463027406"/>
      <w:bookmarkStart w:id="5" w:name="_Ref465963195"/>
      <w:bookmarkStart w:id="6" w:name="_Ref466040522"/>
      <w:bookmarkStart w:id="7" w:name="_Ref378529477"/>
      <w:bookmarkStart w:id="8" w:name="_Toc424303267"/>
      <w:bookmarkStart w:id="9" w:name="_Toc425248865"/>
      <w:bookmarkStart w:id="10" w:name="_Toc425344835"/>
      <w:bookmarkStart w:id="11" w:name="_Toc425350726"/>
      <w:bookmarkStart w:id="12" w:name="_Toc425501584"/>
      <w:bookmarkStart w:id="13" w:name="_Toc425504168"/>
      <w:bookmarkStart w:id="14" w:name="_Ref525738606"/>
      <w:bookmarkStart w:id="15" w:name="_Ref7626308"/>
      <w:bookmarkStart w:id="16" w:name="_Ref21100018"/>
      <w:r>
        <w:rPr>
          <w:lang w:val="de-DE" w:eastAsia="zh-CN"/>
        </w:rPr>
        <w:t>General aspects</w:t>
      </w:r>
    </w:p>
    <w:bookmarkEnd w:id="4"/>
    <w:bookmarkEnd w:id="5"/>
    <w:bookmarkEnd w:id="6"/>
    <w:bookmarkEnd w:id="7"/>
    <w:bookmarkEnd w:id="8"/>
    <w:bookmarkEnd w:id="9"/>
    <w:bookmarkEnd w:id="10"/>
    <w:bookmarkEnd w:id="11"/>
    <w:bookmarkEnd w:id="12"/>
    <w:bookmarkEnd w:id="13"/>
    <w:bookmarkEnd w:id="14"/>
    <w:bookmarkEnd w:id="15"/>
    <w:bookmarkEnd w:id="16"/>
    <w:p w14:paraId="5CAF45CB" w14:textId="7692802F" w:rsidR="003F5C7C" w:rsidRDefault="007A4AC3" w:rsidP="0003651D">
      <w:pPr>
        <w:pStyle w:val="Heading2"/>
        <w:jc w:val="both"/>
      </w:pPr>
      <w:r w:rsidRPr="007A4AC3">
        <w:t xml:space="preserve">SBFD as band specific or general feature to all TDD </w:t>
      </w:r>
    </w:p>
    <w:p w14:paraId="5AE74E39" w14:textId="0BFAB627" w:rsidR="00F218E6" w:rsidRDefault="008C7DD3" w:rsidP="0003651D">
      <w:pPr>
        <w:jc w:val="both"/>
        <w:rPr>
          <w:lang w:val="en-GB"/>
        </w:rPr>
      </w:pPr>
      <w:r>
        <w:rPr>
          <w:lang w:val="en-GB"/>
        </w:rPr>
        <w:t>In [</w:t>
      </w:r>
      <w:r w:rsidR="00712641">
        <w:rPr>
          <w:lang w:val="en-GB"/>
        </w:rPr>
        <w:t>2</w:t>
      </w:r>
      <w:r>
        <w:rPr>
          <w:lang w:val="en-GB"/>
        </w:rPr>
        <w:t xml:space="preserve">], two options </w:t>
      </w:r>
      <w:r w:rsidR="00947E40">
        <w:rPr>
          <w:lang w:val="en-GB"/>
        </w:rPr>
        <w:t>were</w:t>
      </w:r>
      <w:r>
        <w:rPr>
          <w:lang w:val="en-GB"/>
        </w:rPr>
        <w:t xml:space="preserve"> </w:t>
      </w:r>
      <w:r w:rsidR="00F62BC8">
        <w:rPr>
          <w:lang w:val="en-GB"/>
        </w:rPr>
        <w:t>considered</w:t>
      </w:r>
      <w:r>
        <w:rPr>
          <w:lang w:val="en-GB"/>
        </w:rPr>
        <w:t xml:space="preserve"> </w:t>
      </w:r>
      <w:r w:rsidR="00A97C8B">
        <w:rPr>
          <w:lang w:val="en-GB"/>
        </w:rPr>
        <w:t xml:space="preserve">as shown below </w:t>
      </w:r>
      <w:r>
        <w:rPr>
          <w:lang w:val="en-GB"/>
        </w:rPr>
        <w:t xml:space="preserve">on how to </w:t>
      </w:r>
      <w:r w:rsidR="00311ED8">
        <w:rPr>
          <w:lang w:val="en-GB"/>
        </w:rPr>
        <w:t xml:space="preserve">specify </w:t>
      </w:r>
      <w:r w:rsidR="00AF3341">
        <w:rPr>
          <w:lang w:val="en-GB"/>
        </w:rPr>
        <w:t>SBFD bands in the core specification TS 38.104, TS 38.141-1, and TS 38.141-2.</w:t>
      </w:r>
    </w:p>
    <w:tbl>
      <w:tblPr>
        <w:tblStyle w:val="TableGrid"/>
        <w:tblW w:w="0" w:type="auto"/>
        <w:tblLook w:val="04A0" w:firstRow="1" w:lastRow="0" w:firstColumn="1" w:lastColumn="0" w:noHBand="0" w:noVBand="1"/>
      </w:tblPr>
      <w:tblGrid>
        <w:gridCol w:w="9962"/>
      </w:tblGrid>
      <w:tr w:rsidR="00947E40" w14:paraId="1E1589B3" w14:textId="77777777" w:rsidTr="00947E40">
        <w:tc>
          <w:tcPr>
            <w:tcW w:w="9962" w:type="dxa"/>
          </w:tcPr>
          <w:p w14:paraId="2E186474" w14:textId="77777777" w:rsidR="00AF3341" w:rsidRPr="00FB6173" w:rsidRDefault="00AF3341" w:rsidP="00AF3341">
            <w:pPr>
              <w:pStyle w:val="ListParagraph"/>
              <w:numPr>
                <w:ilvl w:val="0"/>
                <w:numId w:val="30"/>
              </w:numPr>
              <w:spacing w:before="0" w:line="259" w:lineRule="auto"/>
              <w:ind w:hanging="357"/>
              <w:rPr>
                <w:rFonts w:ascii="Times New Roman" w:hAnsi="Times New Roman"/>
                <w:sz w:val="20"/>
                <w:szCs w:val="20"/>
              </w:rPr>
            </w:pPr>
            <w:r w:rsidRPr="00FB6173">
              <w:rPr>
                <w:rFonts w:ascii="Times New Roman" w:hAnsi="Times New Roman"/>
                <w:sz w:val="20"/>
                <w:szCs w:val="20"/>
              </w:rPr>
              <w:t>SBFD is a feature with requirements of which can potentially be applied</w:t>
            </w:r>
            <w:r w:rsidRPr="00FB6173" w:rsidDel="005F553A">
              <w:rPr>
                <w:rFonts w:ascii="Times New Roman" w:hAnsi="Times New Roman"/>
                <w:sz w:val="20"/>
                <w:szCs w:val="20"/>
              </w:rPr>
              <w:t xml:space="preserve"> </w:t>
            </w:r>
            <w:r w:rsidRPr="00FB6173">
              <w:rPr>
                <w:rFonts w:ascii="Times New Roman" w:hAnsi="Times New Roman"/>
                <w:sz w:val="20"/>
                <w:szCs w:val="20"/>
              </w:rPr>
              <w:t xml:space="preserve">to all TDD band, under the following considerations: </w:t>
            </w:r>
          </w:p>
          <w:p w14:paraId="78D26FFB" w14:textId="77777777" w:rsidR="00AF3341" w:rsidRPr="00FB6173" w:rsidRDefault="00AF3341" w:rsidP="00AF3341">
            <w:pPr>
              <w:pStyle w:val="ListParagraph"/>
              <w:numPr>
                <w:ilvl w:val="1"/>
                <w:numId w:val="30"/>
              </w:numPr>
              <w:spacing w:before="0" w:line="259" w:lineRule="auto"/>
              <w:ind w:hanging="357"/>
              <w:rPr>
                <w:rFonts w:ascii="Times New Roman" w:hAnsi="Times New Roman"/>
                <w:sz w:val="20"/>
                <w:szCs w:val="20"/>
              </w:rPr>
            </w:pPr>
            <w:r w:rsidRPr="00FB6173">
              <w:rPr>
                <w:rFonts w:ascii="Times New Roman" w:hAnsi="Times New Roman"/>
                <w:sz w:val="20"/>
                <w:szCs w:val="20"/>
              </w:rPr>
              <w:t>Option 1: Declaration based method</w:t>
            </w:r>
          </w:p>
          <w:p w14:paraId="3C1EF914" w14:textId="77777777" w:rsidR="00AF3341" w:rsidRPr="00FB6173" w:rsidRDefault="00AF3341" w:rsidP="00AF3341">
            <w:pPr>
              <w:pStyle w:val="ListParagraph"/>
              <w:numPr>
                <w:ilvl w:val="2"/>
                <w:numId w:val="30"/>
              </w:numPr>
              <w:spacing w:before="0" w:line="259" w:lineRule="auto"/>
              <w:ind w:hanging="357"/>
              <w:rPr>
                <w:rFonts w:ascii="Times New Roman" w:hAnsi="Times New Roman"/>
                <w:sz w:val="20"/>
                <w:szCs w:val="20"/>
              </w:rPr>
            </w:pPr>
            <w:r w:rsidRPr="00FB6173">
              <w:rPr>
                <w:rFonts w:ascii="Times New Roman" w:hAnsi="Times New Roman"/>
                <w:sz w:val="20"/>
                <w:szCs w:val="20"/>
              </w:rPr>
              <w:t>The band supported for SBFD shall be manufacturer declaration based</w:t>
            </w:r>
          </w:p>
          <w:p w14:paraId="0B4648B7" w14:textId="77777777" w:rsidR="00AF3341" w:rsidRPr="00FB6173" w:rsidRDefault="00AF3341" w:rsidP="00AF3341">
            <w:pPr>
              <w:pStyle w:val="ListParagraph"/>
              <w:numPr>
                <w:ilvl w:val="2"/>
                <w:numId w:val="30"/>
              </w:numPr>
              <w:spacing w:before="0" w:line="259" w:lineRule="auto"/>
              <w:ind w:hanging="357"/>
              <w:rPr>
                <w:rFonts w:ascii="Times New Roman" w:hAnsi="Times New Roman"/>
                <w:sz w:val="20"/>
                <w:szCs w:val="20"/>
              </w:rPr>
            </w:pPr>
            <w:r w:rsidRPr="00FB6173">
              <w:rPr>
                <w:rFonts w:ascii="Times New Roman" w:hAnsi="Times New Roman"/>
                <w:sz w:val="20"/>
                <w:szCs w:val="20"/>
              </w:rPr>
              <w:t>The channel bandwidth supported for SBFD shall be manufacturer declaration based</w:t>
            </w:r>
          </w:p>
          <w:p w14:paraId="22603CCB" w14:textId="77777777" w:rsidR="00AF3341" w:rsidRPr="00FB6173" w:rsidRDefault="00AF3341" w:rsidP="00AF3341">
            <w:pPr>
              <w:pStyle w:val="ListParagraph"/>
              <w:numPr>
                <w:ilvl w:val="3"/>
                <w:numId w:val="30"/>
              </w:numPr>
              <w:spacing w:before="0" w:line="259" w:lineRule="auto"/>
              <w:ind w:hanging="357"/>
              <w:rPr>
                <w:rFonts w:ascii="Times New Roman" w:hAnsi="Times New Roman"/>
                <w:sz w:val="20"/>
                <w:szCs w:val="20"/>
              </w:rPr>
            </w:pPr>
            <w:r w:rsidRPr="00FB6173">
              <w:rPr>
                <w:rFonts w:ascii="Times New Roman" w:hAnsi="Times New Roman"/>
                <w:sz w:val="20"/>
                <w:szCs w:val="20"/>
              </w:rPr>
              <w:t xml:space="preserve">The supported channel bandwidth can be impacted by the subband/guard band size discussion </w:t>
            </w:r>
          </w:p>
          <w:p w14:paraId="610906F2" w14:textId="77777777" w:rsidR="00AF3341" w:rsidRPr="00FB6173" w:rsidRDefault="00AF3341" w:rsidP="00AF3341">
            <w:pPr>
              <w:pStyle w:val="ListParagraph"/>
              <w:numPr>
                <w:ilvl w:val="1"/>
                <w:numId w:val="30"/>
              </w:numPr>
              <w:spacing w:before="0" w:line="259" w:lineRule="auto"/>
              <w:ind w:hanging="357"/>
              <w:rPr>
                <w:rFonts w:ascii="Times New Roman" w:hAnsi="Times New Roman"/>
                <w:sz w:val="20"/>
                <w:szCs w:val="20"/>
              </w:rPr>
            </w:pPr>
            <w:r w:rsidRPr="00FB6173">
              <w:rPr>
                <w:rFonts w:ascii="Times New Roman" w:hAnsi="Times New Roman"/>
                <w:sz w:val="20"/>
                <w:szCs w:val="20"/>
              </w:rPr>
              <w:t>Option 2: General principle but with consideration(s) for a specific band</w:t>
            </w:r>
          </w:p>
          <w:p w14:paraId="325C4B88" w14:textId="77777777" w:rsidR="00AF3341" w:rsidRPr="00FB6173" w:rsidRDefault="00AF3341" w:rsidP="00AF3341">
            <w:pPr>
              <w:pStyle w:val="ListParagraph"/>
              <w:numPr>
                <w:ilvl w:val="2"/>
                <w:numId w:val="30"/>
              </w:numPr>
              <w:spacing w:before="0" w:line="259" w:lineRule="auto"/>
              <w:ind w:hanging="357"/>
              <w:rPr>
                <w:rFonts w:ascii="Times New Roman" w:hAnsi="Times New Roman"/>
                <w:sz w:val="20"/>
                <w:szCs w:val="20"/>
              </w:rPr>
            </w:pPr>
            <w:r w:rsidRPr="00FB6173">
              <w:rPr>
                <w:rFonts w:ascii="Times New Roman" w:hAnsi="Times New Roman"/>
                <w:sz w:val="20"/>
                <w:szCs w:val="20"/>
              </w:rPr>
              <w:t>General principle: The channel bandwidth shall be larger than X MHz</w:t>
            </w:r>
          </w:p>
          <w:p w14:paraId="19CA5D2D" w14:textId="77777777" w:rsidR="00AF3341" w:rsidRPr="00FB6173" w:rsidRDefault="00AF3341" w:rsidP="00AF3341">
            <w:pPr>
              <w:pStyle w:val="ListParagraph"/>
              <w:numPr>
                <w:ilvl w:val="3"/>
                <w:numId w:val="30"/>
              </w:numPr>
              <w:spacing w:before="0" w:line="259" w:lineRule="auto"/>
              <w:ind w:hanging="357"/>
              <w:rPr>
                <w:rFonts w:ascii="Times New Roman" w:hAnsi="Times New Roman"/>
                <w:sz w:val="20"/>
                <w:szCs w:val="20"/>
              </w:rPr>
            </w:pPr>
            <w:r w:rsidRPr="00FB6173">
              <w:rPr>
                <w:rFonts w:ascii="Times New Roman" w:hAnsi="Times New Roman"/>
                <w:sz w:val="20"/>
                <w:szCs w:val="20"/>
              </w:rPr>
              <w:t>FFS the value of X</w:t>
            </w:r>
          </w:p>
          <w:p w14:paraId="036546BE" w14:textId="77777777" w:rsidR="00AF3341" w:rsidRPr="00FB6173" w:rsidRDefault="00AF3341" w:rsidP="00AF3341">
            <w:pPr>
              <w:pStyle w:val="ListParagraph"/>
              <w:numPr>
                <w:ilvl w:val="4"/>
                <w:numId w:val="30"/>
              </w:numPr>
              <w:spacing w:before="0" w:line="259" w:lineRule="auto"/>
              <w:ind w:hanging="357"/>
              <w:rPr>
                <w:rFonts w:ascii="Times New Roman" w:hAnsi="Times New Roman"/>
                <w:sz w:val="20"/>
                <w:szCs w:val="20"/>
              </w:rPr>
            </w:pPr>
            <w:r w:rsidRPr="00FB6173">
              <w:rPr>
                <w:rFonts w:ascii="Times New Roman" w:hAnsi="Times New Roman"/>
                <w:sz w:val="20"/>
                <w:szCs w:val="20"/>
              </w:rPr>
              <w:t>X can be different for high and middle TDD bands</w:t>
            </w:r>
          </w:p>
          <w:p w14:paraId="5F578DC3" w14:textId="77777777" w:rsidR="00AF3341" w:rsidRPr="00FB6173" w:rsidRDefault="00AF3341" w:rsidP="00AF3341">
            <w:pPr>
              <w:pStyle w:val="ListParagraph"/>
              <w:numPr>
                <w:ilvl w:val="3"/>
                <w:numId w:val="30"/>
              </w:numPr>
              <w:spacing w:before="0" w:line="259" w:lineRule="auto"/>
              <w:ind w:hanging="357"/>
              <w:rPr>
                <w:rFonts w:ascii="Times New Roman" w:hAnsi="Times New Roman"/>
                <w:sz w:val="20"/>
                <w:szCs w:val="20"/>
              </w:rPr>
            </w:pPr>
            <w:r w:rsidRPr="00FB6173">
              <w:rPr>
                <w:rFonts w:ascii="Times New Roman" w:hAnsi="Times New Roman"/>
                <w:sz w:val="20"/>
                <w:szCs w:val="20"/>
              </w:rPr>
              <w:t>For a specific band, the following further restriction(s) can be considered:</w:t>
            </w:r>
          </w:p>
          <w:p w14:paraId="3CE64828" w14:textId="77777777" w:rsidR="00AF3341" w:rsidRPr="00FB6173" w:rsidRDefault="00AF3341" w:rsidP="00AF3341">
            <w:pPr>
              <w:pStyle w:val="ListParagraph"/>
              <w:numPr>
                <w:ilvl w:val="4"/>
                <w:numId w:val="30"/>
              </w:numPr>
              <w:spacing w:before="0" w:line="259" w:lineRule="auto"/>
              <w:ind w:hanging="357"/>
              <w:rPr>
                <w:rFonts w:ascii="Times New Roman" w:hAnsi="Times New Roman"/>
                <w:sz w:val="20"/>
                <w:szCs w:val="20"/>
              </w:rPr>
            </w:pPr>
            <w:r w:rsidRPr="00FB6173">
              <w:rPr>
                <w:rFonts w:ascii="Times New Roman" w:hAnsi="Times New Roman"/>
                <w:sz w:val="20"/>
                <w:szCs w:val="20"/>
              </w:rPr>
              <w:t>Certain restriction can be provided by operator(s) for certain band</w:t>
            </w:r>
          </w:p>
          <w:p w14:paraId="28B0B4D1" w14:textId="3EABF396" w:rsidR="00947E40" w:rsidRPr="00AF3341" w:rsidRDefault="00AF3341" w:rsidP="00AF3341">
            <w:pPr>
              <w:pStyle w:val="ListParagraph"/>
              <w:numPr>
                <w:ilvl w:val="4"/>
                <w:numId w:val="30"/>
              </w:numPr>
              <w:spacing w:before="0" w:line="259" w:lineRule="auto"/>
              <w:ind w:hanging="357"/>
            </w:pPr>
            <w:r w:rsidRPr="00FB6173">
              <w:rPr>
                <w:rFonts w:ascii="Times New Roman" w:hAnsi="Times New Roman"/>
                <w:sz w:val="20"/>
                <w:szCs w:val="20"/>
              </w:rPr>
              <w:t>Other restrictions are not precluded.</w:t>
            </w:r>
            <w:r>
              <w:t xml:space="preserve"> </w:t>
            </w:r>
          </w:p>
        </w:tc>
      </w:tr>
    </w:tbl>
    <w:p w14:paraId="125C5ABA" w14:textId="77777777" w:rsidR="00947E40" w:rsidRDefault="00947E40" w:rsidP="0003651D">
      <w:pPr>
        <w:jc w:val="both"/>
        <w:rPr>
          <w:lang w:val="en-GB"/>
        </w:rPr>
      </w:pPr>
    </w:p>
    <w:p w14:paraId="6C285253" w14:textId="77777777" w:rsidR="002B2D74" w:rsidRDefault="00B05DBE" w:rsidP="0097247E">
      <w:pPr>
        <w:jc w:val="both"/>
        <w:rPr>
          <w:rFonts w:eastAsia="Times New Roman"/>
          <w:lang w:eastAsia="ja-JP"/>
        </w:rPr>
      </w:pPr>
      <w:r>
        <w:t>In general</w:t>
      </w:r>
      <w:r w:rsidR="0097247E">
        <w:t>, any TDD defined band in Section 5.2 in TS 38.104 could be a target band for SBFD operation</w:t>
      </w:r>
      <w:r>
        <w:t xml:space="preserve">, since </w:t>
      </w:r>
      <w:r w:rsidR="0097247E">
        <w:t xml:space="preserve">SBFD </w:t>
      </w:r>
      <w:r>
        <w:t>is</w:t>
      </w:r>
      <w:r w:rsidR="0097247E">
        <w:t xml:space="preserve"> </w:t>
      </w:r>
      <w:r w:rsidR="0097247E">
        <w:rPr>
          <w:rFonts w:eastAsia="Times New Roman"/>
          <w:lang w:eastAsia="ja-JP"/>
        </w:rPr>
        <w:t xml:space="preserve">as an enhancement of TDD duplex operation via allowing </w:t>
      </w:r>
      <w:r w:rsidR="0097247E" w:rsidRPr="00DA7AED">
        <w:rPr>
          <w:rFonts w:eastAsia="Times New Roman"/>
          <w:lang w:eastAsia="ja-JP"/>
        </w:rPr>
        <w:t xml:space="preserve">the simultaneous existence of downlink and uplink </w:t>
      </w:r>
      <w:r w:rsidR="0097247E">
        <w:rPr>
          <w:rFonts w:eastAsia="Times New Roman"/>
          <w:lang w:eastAsia="ja-JP"/>
        </w:rPr>
        <w:t xml:space="preserve">subband </w:t>
      </w:r>
      <w:r w:rsidR="0097247E" w:rsidRPr="00DA7AED">
        <w:rPr>
          <w:rFonts w:eastAsia="Times New Roman"/>
          <w:lang w:eastAsia="ja-JP"/>
        </w:rPr>
        <w:t xml:space="preserve">at the gNB side within a </w:t>
      </w:r>
      <w:r w:rsidR="0097247E">
        <w:rPr>
          <w:rFonts w:eastAsia="Times New Roman"/>
          <w:lang w:eastAsia="ja-JP"/>
        </w:rPr>
        <w:t xml:space="preserve">TDD carrier in a </w:t>
      </w:r>
      <w:r w:rsidR="0097247E" w:rsidRPr="00DA7AED">
        <w:rPr>
          <w:rFonts w:eastAsia="Times New Roman"/>
          <w:lang w:eastAsia="ja-JP"/>
        </w:rPr>
        <w:t>conventional TDD band (</w:t>
      </w:r>
      <w:r w:rsidR="0097247E">
        <w:rPr>
          <w:rFonts w:eastAsia="Times New Roman"/>
          <w:lang w:eastAsia="ja-JP"/>
        </w:rPr>
        <w:t xml:space="preserve">hence, the term </w:t>
      </w:r>
      <w:r w:rsidR="0097247E" w:rsidRPr="00DA7AED">
        <w:rPr>
          <w:rFonts w:eastAsia="Times New Roman"/>
          <w:lang w:eastAsia="ja-JP"/>
        </w:rPr>
        <w:t>subband non-overlapping full duplex</w:t>
      </w:r>
      <w:r w:rsidR="006C4D1D">
        <w:rPr>
          <w:rFonts w:eastAsia="Times New Roman"/>
          <w:lang w:eastAsia="ja-JP"/>
        </w:rPr>
        <w:t xml:space="preserve">). This can be accommodated under option 1, where </w:t>
      </w:r>
      <w:r w:rsidR="005D2BF4">
        <w:rPr>
          <w:rFonts w:eastAsia="Times New Roman"/>
          <w:lang w:eastAsia="ja-JP"/>
        </w:rPr>
        <w:t xml:space="preserve">vendors declare which bands can support SBFD feature. </w:t>
      </w:r>
      <w:r w:rsidR="008002FF">
        <w:rPr>
          <w:rFonts w:eastAsia="Times New Roman"/>
          <w:lang w:eastAsia="ja-JP"/>
        </w:rPr>
        <w:t>This is still applicable when the following note is added in TS 38.104</w:t>
      </w:r>
      <w:r w:rsidR="008002FF" w:rsidRPr="00B91F76">
        <w:rPr>
          <w:rFonts w:eastAsia="Times New Roman"/>
          <w:lang w:eastAsia="ja-JP"/>
        </w:rPr>
        <w:t xml:space="preserve"> </w:t>
      </w:r>
      <w:r w:rsidR="00B91F76" w:rsidRPr="00B91F76">
        <w:rPr>
          <w:rFonts w:eastAsia="Times New Roman"/>
          <w:lang w:eastAsia="ja-JP"/>
        </w:rPr>
        <w:t>“</w:t>
      </w:r>
      <w:r w:rsidR="00B91F76" w:rsidRPr="00B91F76">
        <w:rPr>
          <w:rFonts w:eastAsia="Times New Roman"/>
          <w:i/>
          <w:iCs/>
          <w:lang w:eastAsia="ja-JP"/>
        </w:rPr>
        <w:t>subband full duplex can be applied to TDD bands given in Table 5.2-1</w:t>
      </w:r>
      <w:r w:rsidR="00B91F76" w:rsidRPr="00B91F76">
        <w:rPr>
          <w:rFonts w:eastAsia="Times New Roman"/>
          <w:lang w:eastAsia="ja-JP"/>
        </w:rPr>
        <w:t>.”</w:t>
      </w:r>
      <w:r w:rsidR="00B91F76">
        <w:rPr>
          <w:rFonts w:eastAsia="Times New Roman"/>
          <w:lang w:eastAsia="ja-JP"/>
        </w:rPr>
        <w:t>.</w:t>
      </w:r>
      <w:r w:rsidR="00ED212D">
        <w:rPr>
          <w:rFonts w:eastAsia="Times New Roman"/>
          <w:lang w:eastAsia="ja-JP"/>
        </w:rPr>
        <w:t xml:space="preserve"> </w:t>
      </w:r>
    </w:p>
    <w:p w14:paraId="518F3544" w14:textId="77777777" w:rsidR="00D73A82" w:rsidRDefault="00D73A82" w:rsidP="0097247E">
      <w:pPr>
        <w:jc w:val="both"/>
        <w:rPr>
          <w:rFonts w:eastAsia="Times New Roman"/>
          <w:b/>
          <w:bCs/>
          <w:lang w:eastAsia="ja-JP"/>
        </w:rPr>
      </w:pPr>
      <w:r>
        <w:rPr>
          <w:rFonts w:eastAsia="Times New Roman"/>
          <w:b/>
          <w:bCs/>
          <w:u w:val="single"/>
          <w:lang w:eastAsia="ja-JP"/>
        </w:rPr>
        <w:lastRenderedPageBreak/>
        <w:t>Observation 1</w:t>
      </w:r>
      <w:r w:rsidR="00FC6786">
        <w:rPr>
          <w:rFonts w:eastAsia="Times New Roman"/>
          <w:b/>
          <w:bCs/>
          <w:lang w:eastAsia="ja-JP"/>
        </w:rPr>
        <w:t xml:space="preserve">: </w:t>
      </w:r>
      <w:r>
        <w:rPr>
          <w:rFonts w:eastAsia="Times New Roman"/>
          <w:b/>
          <w:bCs/>
          <w:lang w:eastAsia="ja-JP"/>
        </w:rPr>
        <w:t>SBFD can be operated in a</w:t>
      </w:r>
      <w:r w:rsidR="00FC6786">
        <w:rPr>
          <w:rFonts w:eastAsia="Times New Roman"/>
          <w:b/>
          <w:bCs/>
          <w:lang w:eastAsia="ja-JP"/>
        </w:rPr>
        <w:t xml:space="preserve">ny TDD </w:t>
      </w:r>
      <w:r w:rsidR="00047A99">
        <w:rPr>
          <w:rFonts w:eastAsia="Times New Roman"/>
          <w:b/>
          <w:bCs/>
          <w:lang w:eastAsia="ja-JP"/>
        </w:rPr>
        <w:t>with sufficient channel bandwidth</w:t>
      </w:r>
      <w:r>
        <w:rPr>
          <w:rFonts w:eastAsia="Times New Roman"/>
          <w:b/>
          <w:bCs/>
          <w:lang w:eastAsia="ja-JP"/>
        </w:rPr>
        <w:t xml:space="preserve">. </w:t>
      </w:r>
    </w:p>
    <w:p w14:paraId="2F83DE88" w14:textId="3B4B3421" w:rsidR="00FC6786" w:rsidRPr="00FC6786" w:rsidRDefault="00D73A82" w:rsidP="0097247E">
      <w:pPr>
        <w:jc w:val="both"/>
        <w:rPr>
          <w:b/>
          <w:bCs/>
        </w:rPr>
      </w:pPr>
      <w:r w:rsidRPr="00D73A82">
        <w:rPr>
          <w:rFonts w:eastAsia="Times New Roman"/>
          <w:b/>
          <w:bCs/>
          <w:u w:val="single"/>
          <w:lang w:eastAsia="ja-JP"/>
        </w:rPr>
        <w:t>Proposal 1</w:t>
      </w:r>
      <w:r>
        <w:rPr>
          <w:rFonts w:eastAsia="Times New Roman"/>
          <w:b/>
          <w:bCs/>
          <w:lang w:eastAsia="ja-JP"/>
        </w:rPr>
        <w:t xml:space="preserve">: </w:t>
      </w:r>
      <w:r w:rsidR="00DE3FC7">
        <w:rPr>
          <w:rFonts w:eastAsia="Times New Roman"/>
          <w:b/>
          <w:bCs/>
          <w:lang w:eastAsia="ja-JP"/>
        </w:rPr>
        <w:t xml:space="preserve">If </w:t>
      </w:r>
      <w:r w:rsidR="00FC6786">
        <w:rPr>
          <w:rFonts w:eastAsia="Times New Roman"/>
          <w:b/>
          <w:bCs/>
          <w:lang w:eastAsia="ja-JP"/>
        </w:rPr>
        <w:t>RAN4</w:t>
      </w:r>
      <w:r w:rsidR="00DE3FC7">
        <w:rPr>
          <w:rFonts w:eastAsia="Times New Roman"/>
          <w:b/>
          <w:bCs/>
          <w:lang w:eastAsia="ja-JP"/>
        </w:rPr>
        <w:t xml:space="preserve"> agreed to consider SBFD support for a given TDD band</w:t>
      </w:r>
      <w:r w:rsidR="00233BC7">
        <w:rPr>
          <w:rFonts w:eastAsia="Times New Roman"/>
          <w:b/>
          <w:bCs/>
          <w:lang w:eastAsia="ja-JP"/>
        </w:rPr>
        <w:t xml:space="preserve"> as declaration based</w:t>
      </w:r>
      <w:r w:rsidR="00DE3FC7">
        <w:rPr>
          <w:rFonts w:eastAsia="Times New Roman"/>
          <w:b/>
          <w:bCs/>
          <w:lang w:eastAsia="ja-JP"/>
        </w:rPr>
        <w:t xml:space="preserve">, </w:t>
      </w:r>
      <w:r w:rsidR="00233BC7">
        <w:rPr>
          <w:rFonts w:eastAsia="Times New Roman"/>
          <w:b/>
          <w:bCs/>
          <w:lang w:eastAsia="ja-JP"/>
        </w:rPr>
        <w:t>it is viable</w:t>
      </w:r>
      <w:r w:rsidR="00FC6786">
        <w:rPr>
          <w:rFonts w:eastAsia="Times New Roman"/>
          <w:b/>
          <w:bCs/>
          <w:lang w:eastAsia="ja-JP"/>
        </w:rPr>
        <w:t xml:space="preserve"> to inclu</w:t>
      </w:r>
      <w:r w:rsidR="00FC6786" w:rsidRPr="00846D88">
        <w:rPr>
          <w:rFonts w:eastAsia="Times New Roman"/>
          <w:b/>
          <w:bCs/>
          <w:lang w:eastAsia="ja-JP"/>
        </w:rPr>
        <w:t xml:space="preserve">de the following text in Clause 5.2 in TS 38.104: </w:t>
      </w:r>
      <w:r w:rsidR="00FC6786" w:rsidRPr="00846D88">
        <w:rPr>
          <w:rFonts w:eastAsia="Times New Roman"/>
          <w:b/>
          <w:bCs/>
          <w:i/>
          <w:iCs/>
          <w:lang w:eastAsia="ja-JP"/>
        </w:rPr>
        <w:t>subband full duplex can be applied to TDD bands</w:t>
      </w:r>
      <w:r>
        <w:rPr>
          <w:rFonts w:eastAsia="Times New Roman"/>
          <w:b/>
          <w:bCs/>
          <w:i/>
          <w:iCs/>
          <w:lang w:eastAsia="ja-JP"/>
        </w:rPr>
        <w:t xml:space="preserve"> with bandwidth &gt; X MHz</w:t>
      </w:r>
      <w:r w:rsidR="00E664AC">
        <w:rPr>
          <w:rFonts w:eastAsia="Times New Roman"/>
          <w:b/>
          <w:bCs/>
          <w:i/>
          <w:iCs/>
          <w:lang w:eastAsia="ja-JP"/>
        </w:rPr>
        <w:t xml:space="preserve">, </w:t>
      </w:r>
      <w:r w:rsidR="00FC6786" w:rsidRPr="00846D88">
        <w:rPr>
          <w:rFonts w:eastAsia="Times New Roman"/>
          <w:b/>
          <w:bCs/>
          <w:i/>
          <w:iCs/>
          <w:lang w:eastAsia="ja-JP"/>
        </w:rPr>
        <w:t>given in Table 5.2-1</w:t>
      </w:r>
      <w:r w:rsidR="00FC6786" w:rsidRPr="00846D88">
        <w:rPr>
          <w:rFonts w:eastAsia="Times New Roman"/>
          <w:b/>
          <w:bCs/>
          <w:lang w:eastAsia="ja-JP"/>
        </w:rPr>
        <w:t>.</w:t>
      </w:r>
    </w:p>
    <w:p w14:paraId="4A6EAF11" w14:textId="4BD23E7D" w:rsidR="00E3504A" w:rsidRDefault="00ED212D" w:rsidP="0097247E">
      <w:pPr>
        <w:jc w:val="both"/>
        <w:rPr>
          <w:rFonts w:eastAsia="Times New Roman"/>
          <w:lang w:eastAsia="ja-JP"/>
        </w:rPr>
      </w:pPr>
      <w:r>
        <w:rPr>
          <w:rFonts w:eastAsia="Times New Roman"/>
          <w:lang w:eastAsia="ja-JP"/>
        </w:rPr>
        <w:t xml:space="preserve">For option 2, our </w:t>
      </w:r>
      <w:r w:rsidR="00F165C8">
        <w:rPr>
          <w:rFonts w:eastAsia="Times New Roman"/>
          <w:lang w:eastAsia="ja-JP"/>
        </w:rPr>
        <w:t>interpretation</w:t>
      </w:r>
      <w:r>
        <w:rPr>
          <w:rFonts w:eastAsia="Times New Roman"/>
          <w:lang w:eastAsia="ja-JP"/>
        </w:rPr>
        <w:t xml:space="preserve"> that </w:t>
      </w:r>
      <w:r w:rsidR="00671239">
        <w:rPr>
          <w:rFonts w:eastAsia="Times New Roman"/>
          <w:lang w:eastAsia="ja-JP"/>
        </w:rPr>
        <w:t xml:space="preserve">a given TDD band can support SBFD under some general constraints (e.g., channel bandwidth is larger than X MHz). </w:t>
      </w:r>
      <w:r w:rsidR="000F5E99">
        <w:rPr>
          <w:rFonts w:eastAsia="Times New Roman"/>
          <w:lang w:eastAsia="ja-JP"/>
        </w:rPr>
        <w:t>Such constraint is viable</w:t>
      </w:r>
      <w:r w:rsidR="0031035D">
        <w:rPr>
          <w:rFonts w:eastAsia="Times New Roman"/>
          <w:lang w:eastAsia="ja-JP"/>
        </w:rPr>
        <w:t xml:space="preserve"> </w:t>
      </w:r>
      <w:r w:rsidR="000F5E99">
        <w:rPr>
          <w:rFonts w:eastAsia="Times New Roman"/>
          <w:lang w:eastAsia="ja-JP"/>
        </w:rPr>
        <w:t>as</w:t>
      </w:r>
      <w:r w:rsidR="0031035D">
        <w:rPr>
          <w:rFonts w:eastAsia="Times New Roman"/>
          <w:lang w:eastAsia="ja-JP"/>
        </w:rPr>
        <w:t xml:space="preserve"> it is not </w:t>
      </w:r>
      <w:r w:rsidR="000F5E99">
        <w:rPr>
          <w:rFonts w:eastAsia="Times New Roman"/>
          <w:lang w:eastAsia="ja-JP"/>
        </w:rPr>
        <w:t>foreseen</w:t>
      </w:r>
      <w:r w:rsidR="0031035D">
        <w:rPr>
          <w:rFonts w:eastAsia="Times New Roman"/>
          <w:lang w:eastAsia="ja-JP"/>
        </w:rPr>
        <w:t xml:space="preserve"> that bands with low channel bandwidths (e.g., less than </w:t>
      </w:r>
      <w:r w:rsidR="00B83A19">
        <w:rPr>
          <w:rFonts w:eastAsia="Times New Roman"/>
          <w:lang w:eastAsia="ja-JP"/>
        </w:rPr>
        <w:t>5</w:t>
      </w:r>
      <w:r w:rsidR="0031035D">
        <w:rPr>
          <w:rFonts w:eastAsia="Times New Roman"/>
          <w:lang w:eastAsia="ja-JP"/>
        </w:rPr>
        <w:t xml:space="preserve">0MHz) will be attractive for SBFD deployments. </w:t>
      </w:r>
      <w:r w:rsidR="000B4BF6">
        <w:rPr>
          <w:rFonts w:eastAsia="Times New Roman"/>
          <w:lang w:eastAsia="ja-JP"/>
        </w:rPr>
        <w:t xml:space="preserve">For the restriction point captured in option 2, it is not clear to us how would RAN4 decide a given restriction for a given band, aside from its channel bandwidth. </w:t>
      </w:r>
      <w:r w:rsidR="00455B95">
        <w:rPr>
          <w:rFonts w:eastAsia="Times New Roman"/>
          <w:lang w:eastAsia="ja-JP"/>
        </w:rPr>
        <w:t xml:space="preserve">RAN4 </w:t>
      </w:r>
      <w:proofErr w:type="gramStart"/>
      <w:r w:rsidR="00455B95">
        <w:rPr>
          <w:rFonts w:eastAsia="Times New Roman"/>
          <w:lang w:eastAsia="ja-JP"/>
        </w:rPr>
        <w:t>need</w:t>
      </w:r>
      <w:proofErr w:type="gramEnd"/>
      <w:r w:rsidR="00455B95">
        <w:rPr>
          <w:rFonts w:eastAsia="Times New Roman"/>
          <w:lang w:eastAsia="ja-JP"/>
        </w:rPr>
        <w:t xml:space="preserve"> to consider a generic, technical </w:t>
      </w:r>
      <w:r w:rsidR="004F6228">
        <w:rPr>
          <w:rFonts w:eastAsia="Times New Roman"/>
          <w:lang w:eastAsia="ja-JP"/>
        </w:rPr>
        <w:t>criteria</w:t>
      </w:r>
      <w:r w:rsidR="00455B95">
        <w:rPr>
          <w:rFonts w:eastAsia="Times New Roman"/>
          <w:lang w:eastAsia="ja-JP"/>
        </w:rPr>
        <w:t xml:space="preserve"> for the </w:t>
      </w:r>
      <w:r w:rsidR="00FC6786">
        <w:rPr>
          <w:rFonts w:eastAsia="Times New Roman"/>
          <w:lang w:eastAsia="ja-JP"/>
        </w:rPr>
        <w:t xml:space="preserve">exclusion of given TDD bands when considering SBFD feature. </w:t>
      </w:r>
    </w:p>
    <w:p w14:paraId="047CB8C4" w14:textId="7F97937F" w:rsidR="00E664AC" w:rsidRDefault="00E664AC" w:rsidP="0097247E">
      <w:pPr>
        <w:jc w:val="both"/>
        <w:rPr>
          <w:rFonts w:eastAsia="Times New Roman"/>
          <w:b/>
          <w:bCs/>
          <w:lang w:eastAsia="ja-JP"/>
        </w:rPr>
      </w:pPr>
      <w:r w:rsidRPr="00E664AC">
        <w:rPr>
          <w:rFonts w:eastAsia="Times New Roman"/>
          <w:b/>
          <w:bCs/>
          <w:u w:val="single"/>
          <w:lang w:eastAsia="ja-JP"/>
        </w:rPr>
        <w:t>Proposal 2</w:t>
      </w:r>
      <w:r w:rsidRPr="00E664AC">
        <w:rPr>
          <w:rFonts w:eastAsia="Times New Roman"/>
          <w:b/>
          <w:bCs/>
          <w:lang w:eastAsia="ja-JP"/>
        </w:rPr>
        <w:t xml:space="preserve">: RAN4 should consider a band-generic and technical criteria for exclusion of </w:t>
      </w:r>
      <w:r w:rsidR="00184345">
        <w:rPr>
          <w:rFonts w:eastAsia="Times New Roman"/>
          <w:b/>
          <w:bCs/>
          <w:lang w:eastAsia="ja-JP"/>
        </w:rPr>
        <w:t>certain</w:t>
      </w:r>
      <w:r w:rsidRPr="00E664AC">
        <w:rPr>
          <w:rFonts w:eastAsia="Times New Roman"/>
          <w:b/>
          <w:bCs/>
          <w:lang w:eastAsia="ja-JP"/>
        </w:rPr>
        <w:t xml:space="preserve"> TDD bands when considering the SBFD feature. Such a natural </w:t>
      </w:r>
      <w:r w:rsidR="00E0089C" w:rsidRPr="00E664AC">
        <w:rPr>
          <w:rFonts w:eastAsia="Times New Roman"/>
          <w:b/>
          <w:bCs/>
          <w:lang w:eastAsia="ja-JP"/>
        </w:rPr>
        <w:t>criterion</w:t>
      </w:r>
      <w:r w:rsidRPr="00E664AC">
        <w:rPr>
          <w:rFonts w:eastAsia="Times New Roman"/>
          <w:b/>
          <w:bCs/>
          <w:lang w:eastAsia="ja-JP"/>
        </w:rPr>
        <w:t xml:space="preserve"> is the </w:t>
      </w:r>
      <w:r w:rsidR="00F60CFC">
        <w:rPr>
          <w:rFonts w:eastAsia="Times New Roman"/>
          <w:b/>
          <w:bCs/>
          <w:lang w:eastAsia="ja-JP"/>
        </w:rPr>
        <w:t xml:space="preserve">band </w:t>
      </w:r>
      <w:r w:rsidRPr="00E664AC">
        <w:rPr>
          <w:rFonts w:eastAsia="Times New Roman"/>
          <w:b/>
          <w:bCs/>
          <w:lang w:eastAsia="ja-JP"/>
        </w:rPr>
        <w:t xml:space="preserve">bandwidth </w:t>
      </w:r>
      <w:r w:rsidR="00F60CFC">
        <w:rPr>
          <w:rFonts w:eastAsia="Times New Roman"/>
          <w:b/>
          <w:bCs/>
          <w:lang w:eastAsia="ja-JP"/>
        </w:rPr>
        <w:t xml:space="preserve">being </w:t>
      </w:r>
      <w:r w:rsidRPr="00E664AC">
        <w:rPr>
          <w:rFonts w:eastAsia="Times New Roman"/>
          <w:b/>
          <w:bCs/>
          <w:lang w:eastAsia="ja-JP"/>
        </w:rPr>
        <w:t xml:space="preserve">less than X MHz. </w:t>
      </w:r>
    </w:p>
    <w:p w14:paraId="76B6EA08" w14:textId="2A85D6A1" w:rsidR="0097247E" w:rsidRDefault="00D75D59" w:rsidP="0003651D">
      <w:pPr>
        <w:jc w:val="both"/>
        <w:rPr>
          <w:rFonts w:eastAsia="Times New Roman"/>
          <w:b/>
          <w:bCs/>
          <w:lang w:eastAsia="ja-JP"/>
        </w:rPr>
      </w:pPr>
      <w:r>
        <w:rPr>
          <w:rFonts w:eastAsia="Times New Roman"/>
          <w:lang w:eastAsia="ja-JP"/>
        </w:rPr>
        <w:t xml:space="preserve">For the given value of X, </w:t>
      </w:r>
      <w:r w:rsidR="00FF56DC">
        <w:rPr>
          <w:rFonts w:eastAsia="Times New Roman"/>
          <w:lang w:eastAsia="ja-JP"/>
        </w:rPr>
        <w:t>during the SI phase, RAN4 has generally considered channel bandwidth values of 100MHz and 200MHz for FR1 and FR2-1, respectively</w:t>
      </w:r>
      <w:r w:rsidR="00844A66">
        <w:rPr>
          <w:rFonts w:eastAsia="Times New Roman"/>
          <w:lang w:eastAsia="ja-JP"/>
        </w:rPr>
        <w:t xml:space="preserve">, with a given DL and UL ratio of 80% and 20%, respectively. </w:t>
      </w:r>
      <w:r w:rsidR="00902C84">
        <w:rPr>
          <w:rFonts w:eastAsia="Times New Roman"/>
          <w:lang w:eastAsia="ja-JP"/>
        </w:rPr>
        <w:t xml:space="preserve">Since RAN4 is still discussing the need to </w:t>
      </w:r>
      <w:r w:rsidR="00F53396">
        <w:rPr>
          <w:rFonts w:eastAsia="Times New Roman"/>
          <w:lang w:eastAsia="ja-JP"/>
        </w:rPr>
        <w:t>specify</w:t>
      </w:r>
      <w:r w:rsidR="00902C84">
        <w:rPr>
          <w:rFonts w:eastAsia="Times New Roman"/>
          <w:lang w:eastAsia="ja-JP"/>
        </w:rPr>
        <w:t xml:space="preserve"> a minimum subband configuration size for a given direction</w:t>
      </w:r>
      <w:r w:rsidR="00061B76">
        <w:rPr>
          <w:rFonts w:eastAsia="Times New Roman"/>
          <w:lang w:eastAsia="ja-JP"/>
        </w:rPr>
        <w:t xml:space="preserve"> and the minimum required guardband</w:t>
      </w:r>
      <w:r w:rsidR="00902C84">
        <w:rPr>
          <w:rFonts w:eastAsia="Times New Roman"/>
          <w:lang w:eastAsia="ja-JP"/>
        </w:rPr>
        <w:t xml:space="preserve">, </w:t>
      </w:r>
      <w:r w:rsidR="000F18FD">
        <w:rPr>
          <w:rFonts w:eastAsia="Times New Roman"/>
          <w:lang w:eastAsia="ja-JP"/>
        </w:rPr>
        <w:t xml:space="preserve">it is a viable </w:t>
      </w:r>
      <w:r w:rsidR="00061B76">
        <w:rPr>
          <w:rFonts w:eastAsia="Times New Roman"/>
          <w:lang w:eastAsia="ja-JP"/>
        </w:rPr>
        <w:t>direction to decide on the value of X after agreeing on the guardband value and the corresponding subband</w:t>
      </w:r>
      <w:r w:rsidR="0011441F">
        <w:rPr>
          <w:rFonts w:eastAsia="Times New Roman"/>
          <w:lang w:eastAsia="ja-JP"/>
        </w:rPr>
        <w:t xml:space="preserve"> sizes for a given SBFD configuration. </w:t>
      </w:r>
    </w:p>
    <w:p w14:paraId="3433E637" w14:textId="1FBEFAE3" w:rsidR="0097247E" w:rsidRPr="006777D9" w:rsidRDefault="00F53396" w:rsidP="006777D9">
      <w:pPr>
        <w:jc w:val="both"/>
        <w:rPr>
          <w:rFonts w:eastAsia="Times New Roman"/>
          <w:b/>
          <w:bCs/>
          <w:lang w:eastAsia="ja-JP"/>
        </w:rPr>
      </w:pPr>
      <w:r w:rsidRPr="006777D9">
        <w:rPr>
          <w:rFonts w:eastAsia="Times New Roman"/>
          <w:b/>
          <w:bCs/>
          <w:u w:val="single"/>
          <w:lang w:eastAsia="ja-JP"/>
        </w:rPr>
        <w:t>Proposal 3</w:t>
      </w:r>
      <w:r>
        <w:rPr>
          <w:rFonts w:eastAsia="Times New Roman"/>
          <w:b/>
          <w:bCs/>
          <w:lang w:eastAsia="ja-JP"/>
        </w:rPr>
        <w:t xml:space="preserve">: RAN4 to </w:t>
      </w:r>
      <w:r w:rsidR="00184345">
        <w:rPr>
          <w:rFonts w:eastAsia="Times New Roman"/>
          <w:b/>
          <w:bCs/>
          <w:lang w:eastAsia="ja-JP"/>
        </w:rPr>
        <w:t xml:space="preserve">agree on the </w:t>
      </w:r>
      <w:r w:rsidR="00184345" w:rsidRPr="0011441F">
        <w:rPr>
          <w:rFonts w:eastAsia="Times New Roman"/>
          <w:b/>
          <w:bCs/>
          <w:lang w:eastAsia="ja-JP"/>
        </w:rPr>
        <w:t>value of</w:t>
      </w:r>
      <w:r w:rsidRPr="0011441F">
        <w:rPr>
          <w:rFonts w:eastAsia="Times New Roman"/>
          <w:b/>
          <w:bCs/>
          <w:lang w:eastAsia="ja-JP"/>
        </w:rPr>
        <w:t xml:space="preserve"> </w:t>
      </w:r>
      <w:r w:rsidR="006777D9" w:rsidRPr="0011441F">
        <w:rPr>
          <w:rFonts w:eastAsia="Times New Roman"/>
          <w:b/>
          <w:bCs/>
          <w:lang w:eastAsia="ja-JP"/>
        </w:rPr>
        <w:t xml:space="preserve">X </w:t>
      </w:r>
      <w:r w:rsidR="002F7A8D" w:rsidRPr="0011441F">
        <w:rPr>
          <w:rFonts w:eastAsia="Times New Roman"/>
          <w:b/>
          <w:bCs/>
          <w:lang w:eastAsia="ja-JP"/>
        </w:rPr>
        <w:t>after</w:t>
      </w:r>
      <w:r w:rsidR="002F7A8D">
        <w:rPr>
          <w:rFonts w:eastAsia="Times New Roman"/>
          <w:b/>
          <w:bCs/>
          <w:lang w:eastAsia="ja-JP"/>
        </w:rPr>
        <w:t xml:space="preserve"> agreeing </w:t>
      </w:r>
      <w:r w:rsidR="00061B76">
        <w:rPr>
          <w:rFonts w:eastAsia="Times New Roman"/>
          <w:b/>
          <w:bCs/>
          <w:lang w:eastAsia="ja-JP"/>
        </w:rPr>
        <w:t xml:space="preserve">on </w:t>
      </w:r>
      <w:r w:rsidR="002F7A8D">
        <w:rPr>
          <w:rFonts w:eastAsia="Times New Roman"/>
          <w:b/>
          <w:bCs/>
          <w:lang w:eastAsia="ja-JP"/>
        </w:rPr>
        <w:t xml:space="preserve">the minimum guard band requirements and subband </w:t>
      </w:r>
      <w:r w:rsidR="0011441F">
        <w:rPr>
          <w:rFonts w:eastAsia="Times New Roman"/>
          <w:b/>
          <w:bCs/>
          <w:lang w:eastAsia="ja-JP"/>
        </w:rPr>
        <w:t>sizes</w:t>
      </w:r>
      <w:r w:rsidR="00061B76">
        <w:rPr>
          <w:rFonts w:eastAsia="Times New Roman"/>
          <w:b/>
          <w:bCs/>
          <w:lang w:eastAsia="ja-JP"/>
        </w:rPr>
        <w:t xml:space="preserve"> </w:t>
      </w:r>
      <w:r w:rsidR="002F7A8D">
        <w:rPr>
          <w:rFonts w:eastAsia="Times New Roman"/>
          <w:b/>
          <w:bCs/>
          <w:lang w:eastAsia="ja-JP"/>
        </w:rPr>
        <w:t>for</w:t>
      </w:r>
      <w:r w:rsidR="0011441F">
        <w:rPr>
          <w:rFonts w:eastAsia="Times New Roman"/>
          <w:b/>
          <w:bCs/>
          <w:lang w:eastAsia="ja-JP"/>
        </w:rPr>
        <w:t xml:space="preserve"> both DUD and DU subband configurations.</w:t>
      </w:r>
    </w:p>
    <w:p w14:paraId="60DC7654" w14:textId="2EBBC052" w:rsidR="0000481E" w:rsidRDefault="00792C2C" w:rsidP="0003651D">
      <w:pPr>
        <w:pStyle w:val="Heading2"/>
        <w:jc w:val="both"/>
      </w:pPr>
      <w:r w:rsidRPr="00792C2C">
        <w:t>CLI handling impact on RF requirement</w:t>
      </w:r>
      <w:r>
        <w:t xml:space="preserve"> </w:t>
      </w:r>
    </w:p>
    <w:p w14:paraId="393BAB3C" w14:textId="6C3CCB99" w:rsidR="00DB4A50" w:rsidRDefault="00B737FE" w:rsidP="0003651D">
      <w:pPr>
        <w:jc w:val="both"/>
        <w:rPr>
          <w:lang w:val="en-GB"/>
        </w:rPr>
      </w:pPr>
      <w:r>
        <w:rPr>
          <w:lang w:val="en-GB"/>
        </w:rPr>
        <w:t xml:space="preserve">In [2], the following </w:t>
      </w:r>
      <w:r w:rsidR="00623BDE">
        <w:rPr>
          <w:lang w:val="en-GB"/>
        </w:rPr>
        <w:t>options were agreed regarding impact of CLI handling on RF requirement:</w:t>
      </w:r>
      <w:r>
        <w:rPr>
          <w:lang w:val="en-GB"/>
        </w:rPr>
        <w:t xml:space="preserve"> </w:t>
      </w:r>
    </w:p>
    <w:tbl>
      <w:tblPr>
        <w:tblStyle w:val="TableGrid"/>
        <w:tblW w:w="0" w:type="auto"/>
        <w:tblLook w:val="04A0" w:firstRow="1" w:lastRow="0" w:firstColumn="1" w:lastColumn="0" w:noHBand="0" w:noVBand="1"/>
      </w:tblPr>
      <w:tblGrid>
        <w:gridCol w:w="9962"/>
      </w:tblGrid>
      <w:tr w:rsidR="00B737FE" w14:paraId="2A010D0F" w14:textId="77777777" w:rsidTr="00B737FE">
        <w:tc>
          <w:tcPr>
            <w:tcW w:w="9962" w:type="dxa"/>
          </w:tcPr>
          <w:p w14:paraId="08404DA2" w14:textId="77777777" w:rsidR="00FB6173" w:rsidRPr="00FB6173" w:rsidRDefault="00FB6173" w:rsidP="00FB6173">
            <w:pPr>
              <w:pStyle w:val="ListParagraph"/>
              <w:numPr>
                <w:ilvl w:val="0"/>
                <w:numId w:val="30"/>
              </w:numPr>
              <w:spacing w:before="0" w:line="259" w:lineRule="auto"/>
              <w:ind w:left="357" w:hanging="357"/>
              <w:rPr>
                <w:rFonts w:ascii="Times New Roman" w:hAnsi="Times New Roman"/>
                <w:sz w:val="20"/>
                <w:szCs w:val="20"/>
              </w:rPr>
            </w:pPr>
            <w:r w:rsidRPr="00FB6173">
              <w:rPr>
                <w:rFonts w:ascii="Times New Roman" w:hAnsi="Times New Roman"/>
                <w:sz w:val="20"/>
                <w:szCs w:val="20"/>
              </w:rPr>
              <w:t xml:space="preserve">Option 1: RAN4 </w:t>
            </w:r>
            <w:proofErr w:type="gramStart"/>
            <w:r w:rsidRPr="00FB6173">
              <w:rPr>
                <w:rFonts w:ascii="Times New Roman" w:hAnsi="Times New Roman"/>
                <w:sz w:val="20"/>
                <w:szCs w:val="20"/>
              </w:rPr>
              <w:t>define</w:t>
            </w:r>
            <w:proofErr w:type="gramEnd"/>
            <w:r w:rsidRPr="00FB6173">
              <w:rPr>
                <w:rFonts w:ascii="Times New Roman" w:hAnsi="Times New Roman"/>
                <w:sz w:val="20"/>
                <w:szCs w:val="20"/>
              </w:rPr>
              <w:t xml:space="preserve"> RF requirements for the frequency outside of wanted carrier based on no CLI handling as baseline.</w:t>
            </w:r>
          </w:p>
          <w:p w14:paraId="6AF73D8C" w14:textId="78622BD4" w:rsidR="00B737FE" w:rsidRPr="00FB6173" w:rsidRDefault="00FB6173" w:rsidP="00FB6173">
            <w:pPr>
              <w:pStyle w:val="ListParagraph"/>
              <w:numPr>
                <w:ilvl w:val="0"/>
                <w:numId w:val="30"/>
              </w:numPr>
              <w:spacing w:before="0" w:line="259" w:lineRule="auto"/>
              <w:ind w:left="357" w:hanging="357"/>
            </w:pPr>
            <w:r w:rsidRPr="00FB6173">
              <w:rPr>
                <w:rFonts w:ascii="Times New Roman" w:hAnsi="Times New Roman"/>
                <w:sz w:val="20"/>
                <w:szCs w:val="20"/>
              </w:rPr>
              <w:t>Option 2: FFS CLI handling impact on RF requirements</w:t>
            </w:r>
          </w:p>
        </w:tc>
      </w:tr>
    </w:tbl>
    <w:p w14:paraId="24687F0F" w14:textId="77777777" w:rsidR="00FB6173" w:rsidRDefault="00FB6173" w:rsidP="0003651D">
      <w:pPr>
        <w:jc w:val="both"/>
        <w:rPr>
          <w:lang w:val="en-GB"/>
        </w:rPr>
      </w:pPr>
    </w:p>
    <w:p w14:paraId="30732477" w14:textId="4881DF49" w:rsidR="00D64CA2" w:rsidRDefault="00D64CA2" w:rsidP="0003651D">
      <w:pPr>
        <w:jc w:val="both"/>
        <w:rPr>
          <w:lang w:val="en-GB"/>
        </w:rPr>
      </w:pPr>
      <w:r>
        <w:rPr>
          <w:lang w:val="en-GB"/>
        </w:rPr>
        <w:t xml:space="preserve">Currently RAN1 is investigating several techniques </w:t>
      </w:r>
      <w:r w:rsidR="00533F6D">
        <w:rPr>
          <w:lang w:val="en-GB"/>
        </w:rPr>
        <w:t xml:space="preserve">related to </w:t>
      </w:r>
      <w:r w:rsidR="00EA3AA0">
        <w:rPr>
          <w:lang w:val="en-GB"/>
        </w:rPr>
        <w:t xml:space="preserve">inter-gNB and inter-UE CLI handling techniques </w:t>
      </w:r>
      <w:r w:rsidR="00633FA6">
        <w:rPr>
          <w:lang w:val="en-GB"/>
        </w:rPr>
        <w:t>(see RP</w:t>
      </w:r>
      <w:r w:rsidR="00DB4ACF">
        <w:rPr>
          <w:lang w:val="en-GB"/>
        </w:rPr>
        <w:t>-241</w:t>
      </w:r>
      <w:r w:rsidR="00470751">
        <w:rPr>
          <w:lang w:val="en-GB"/>
        </w:rPr>
        <w:t>286</w:t>
      </w:r>
      <w:r w:rsidR="002943F1">
        <w:rPr>
          <w:lang w:val="en-GB"/>
        </w:rPr>
        <w:t xml:space="preserve"> for more information), such as </w:t>
      </w:r>
      <w:r w:rsidR="00D73B7B">
        <w:rPr>
          <w:lang w:val="en-GB"/>
        </w:rPr>
        <w:t xml:space="preserve">beam nulling, </w:t>
      </w:r>
      <w:r w:rsidR="00B0062D">
        <w:rPr>
          <w:lang w:val="en-GB"/>
        </w:rPr>
        <w:t xml:space="preserve">non-transparent UL </w:t>
      </w:r>
      <w:r w:rsidR="0067546A">
        <w:rPr>
          <w:lang w:val="en-GB"/>
        </w:rPr>
        <w:t xml:space="preserve">resource muting, </w:t>
      </w:r>
      <w:r w:rsidR="00D83111">
        <w:rPr>
          <w:lang w:val="en-GB"/>
        </w:rPr>
        <w:t>spatial</w:t>
      </w:r>
      <w:r w:rsidR="006E01E2">
        <w:rPr>
          <w:lang w:val="en-GB"/>
        </w:rPr>
        <w:t>-</w:t>
      </w:r>
      <w:r w:rsidR="00D83111">
        <w:rPr>
          <w:lang w:val="en-GB"/>
        </w:rPr>
        <w:t xml:space="preserve">domain based schemes for FR2-1, etc. </w:t>
      </w:r>
      <w:r w:rsidR="007A0E52">
        <w:rPr>
          <w:lang w:val="en-GB"/>
        </w:rPr>
        <w:t xml:space="preserve">Since it is still work in progress in RAN1, it is difficult to quantify the impact of the different CLI handling techniques on the definition of the different RF requirements within RAN4. </w:t>
      </w:r>
      <w:r w:rsidR="00F41331">
        <w:rPr>
          <w:lang w:val="en-GB"/>
        </w:rPr>
        <w:t xml:space="preserve">Accordingly, it is </w:t>
      </w:r>
      <w:r w:rsidR="00151889">
        <w:rPr>
          <w:lang w:val="en-GB"/>
        </w:rPr>
        <w:t xml:space="preserve">foreseeable that RAN4 would define RF requirements with no CLI handling as a baseline and FFS whether any of those redefined CLI handling needs to be revisited pending on RAN1 progress on the CLI handling techniques. </w:t>
      </w:r>
    </w:p>
    <w:p w14:paraId="168B77C5" w14:textId="572DE77E" w:rsidR="00D64CA2" w:rsidRPr="00151889" w:rsidRDefault="00151889" w:rsidP="0003651D">
      <w:pPr>
        <w:jc w:val="both"/>
        <w:rPr>
          <w:rFonts w:eastAsia="Times New Roman"/>
          <w:b/>
          <w:bCs/>
          <w:lang w:eastAsia="ja-JP"/>
        </w:rPr>
      </w:pPr>
      <w:r w:rsidRPr="00151889">
        <w:rPr>
          <w:rFonts w:eastAsia="Times New Roman"/>
          <w:b/>
          <w:bCs/>
          <w:u w:val="single"/>
          <w:lang w:eastAsia="ja-JP"/>
        </w:rPr>
        <w:t>Proposal 4</w:t>
      </w:r>
      <w:r>
        <w:rPr>
          <w:rFonts w:eastAsia="Times New Roman"/>
          <w:b/>
          <w:bCs/>
          <w:lang w:eastAsia="ja-JP"/>
        </w:rPr>
        <w:t xml:space="preserve">: RAN4 to </w:t>
      </w:r>
      <w:r w:rsidRPr="00151889">
        <w:rPr>
          <w:rFonts w:eastAsia="Times New Roman"/>
          <w:b/>
          <w:bCs/>
          <w:lang w:eastAsia="ja-JP"/>
        </w:rPr>
        <w:t xml:space="preserve">define RF requirements with no CLI handling as a baseline and revisited </w:t>
      </w:r>
      <w:proofErr w:type="gramStart"/>
      <w:r w:rsidRPr="00151889">
        <w:rPr>
          <w:rFonts w:eastAsia="Times New Roman"/>
          <w:b/>
          <w:bCs/>
          <w:lang w:eastAsia="ja-JP"/>
        </w:rPr>
        <w:t>particular RF</w:t>
      </w:r>
      <w:proofErr w:type="gramEnd"/>
      <w:r w:rsidRPr="00151889">
        <w:rPr>
          <w:rFonts w:eastAsia="Times New Roman"/>
          <w:b/>
          <w:bCs/>
          <w:lang w:eastAsia="ja-JP"/>
        </w:rPr>
        <w:t xml:space="preserve"> requirements pending on RAN1 progress on the CLI handling work.</w:t>
      </w:r>
    </w:p>
    <w:p w14:paraId="4B1554DD" w14:textId="604435C7" w:rsidR="003F5C7C" w:rsidRDefault="003F5C7C" w:rsidP="0003651D">
      <w:pPr>
        <w:pStyle w:val="Heading2"/>
        <w:jc w:val="both"/>
      </w:pPr>
      <w:r>
        <w:t xml:space="preserve">Guardband considerations </w:t>
      </w:r>
    </w:p>
    <w:p w14:paraId="2135F25B" w14:textId="789C3551" w:rsidR="003F5C7C" w:rsidRDefault="003F5C7C" w:rsidP="0003651D">
      <w:pPr>
        <w:jc w:val="both"/>
        <w:rPr>
          <w:lang w:eastAsia="zh-CN"/>
        </w:rPr>
      </w:pPr>
      <w:r>
        <w:rPr>
          <w:lang w:eastAsia="zh-CN"/>
        </w:rPr>
        <w:t xml:space="preserve">In </w:t>
      </w:r>
      <w:r w:rsidR="009B6D4E">
        <w:rPr>
          <w:lang w:eastAsia="zh-CN"/>
        </w:rPr>
        <w:t xml:space="preserve">[2], the following was agreed regarding how </w:t>
      </w:r>
      <w:r w:rsidR="009B6D4E">
        <w:t>to handle guard band and subband configurations in specification</w:t>
      </w:r>
      <w:r>
        <w:rPr>
          <w:lang w:eastAsia="zh-CN"/>
        </w:rPr>
        <w:t xml:space="preserve"> meeting the following related to the s</w:t>
      </w:r>
      <w:r w:rsidRPr="00A25A5D">
        <w:rPr>
          <w:lang w:eastAsia="zh-CN"/>
        </w:rPr>
        <w:t>emi-static indication of SBFD frequency location​</w:t>
      </w:r>
      <w:r>
        <w:rPr>
          <w:lang w:eastAsia="zh-CN"/>
        </w:rPr>
        <w:t xml:space="preserve"> was agreed: </w:t>
      </w:r>
    </w:p>
    <w:tbl>
      <w:tblPr>
        <w:tblStyle w:val="TableGrid"/>
        <w:tblW w:w="0" w:type="auto"/>
        <w:tblLook w:val="04A0" w:firstRow="1" w:lastRow="0" w:firstColumn="1" w:lastColumn="0" w:noHBand="0" w:noVBand="1"/>
      </w:tblPr>
      <w:tblGrid>
        <w:gridCol w:w="9962"/>
      </w:tblGrid>
      <w:tr w:rsidR="003F5C7C" w14:paraId="69B70A28" w14:textId="77777777" w:rsidTr="00DA7AED">
        <w:tc>
          <w:tcPr>
            <w:tcW w:w="9962" w:type="dxa"/>
          </w:tcPr>
          <w:p w14:paraId="2D877969" w14:textId="77777777" w:rsidR="0095531A" w:rsidRPr="0095531A" w:rsidRDefault="0095531A" w:rsidP="0095531A">
            <w:pPr>
              <w:pStyle w:val="ListParagraph"/>
              <w:numPr>
                <w:ilvl w:val="0"/>
                <w:numId w:val="28"/>
              </w:numPr>
              <w:spacing w:before="0" w:line="259" w:lineRule="auto"/>
              <w:ind w:hanging="357"/>
              <w:rPr>
                <w:rFonts w:ascii="Times New Roman" w:hAnsi="Times New Roman"/>
                <w:sz w:val="20"/>
                <w:szCs w:val="20"/>
              </w:rPr>
            </w:pPr>
            <w:r w:rsidRPr="0095531A">
              <w:rPr>
                <w:rFonts w:ascii="Times New Roman" w:hAnsi="Times New Roman"/>
                <w:sz w:val="20"/>
                <w:szCs w:val="20"/>
              </w:rPr>
              <w:t xml:space="preserve">Add clarification that only DUD and DU patterns are </w:t>
            </w:r>
            <w:r w:rsidRPr="0095531A">
              <w:rPr>
                <w:rFonts w:ascii="Times New Roman" w:eastAsia="SimSun" w:hAnsi="Times New Roman"/>
                <w:sz w:val="20"/>
                <w:szCs w:val="20"/>
              </w:rPr>
              <w:t>specified</w:t>
            </w:r>
            <w:r w:rsidRPr="0095531A">
              <w:rPr>
                <w:rFonts w:ascii="Times New Roman" w:hAnsi="Times New Roman"/>
                <w:sz w:val="20"/>
                <w:szCs w:val="20"/>
              </w:rPr>
              <w:t xml:space="preserve"> for the sub-band configuration.</w:t>
            </w:r>
          </w:p>
          <w:p w14:paraId="41496DC3" w14:textId="77777777" w:rsidR="0095531A" w:rsidRPr="0095531A" w:rsidRDefault="0095531A" w:rsidP="0095531A">
            <w:pPr>
              <w:pStyle w:val="ListParagraph"/>
              <w:numPr>
                <w:ilvl w:val="0"/>
                <w:numId w:val="28"/>
              </w:numPr>
              <w:spacing w:before="0" w:line="259" w:lineRule="auto"/>
              <w:ind w:hanging="357"/>
              <w:rPr>
                <w:rFonts w:ascii="Times New Roman" w:hAnsi="Times New Roman"/>
                <w:sz w:val="20"/>
                <w:szCs w:val="20"/>
              </w:rPr>
            </w:pPr>
            <w:r w:rsidRPr="0095531A">
              <w:rPr>
                <w:rFonts w:ascii="Times New Roman" w:hAnsi="Times New Roman"/>
                <w:sz w:val="20"/>
                <w:szCs w:val="20"/>
              </w:rPr>
              <w:t>FFS which channel bandwidth(s) or all channel bandwidths shall be defined for RF requirements</w:t>
            </w:r>
          </w:p>
          <w:p w14:paraId="3904A9A8" w14:textId="77777777" w:rsidR="0095531A" w:rsidRPr="0095531A" w:rsidRDefault="0095531A" w:rsidP="0095531A">
            <w:pPr>
              <w:pStyle w:val="ListParagraph"/>
              <w:numPr>
                <w:ilvl w:val="0"/>
                <w:numId w:val="28"/>
              </w:numPr>
              <w:spacing w:before="0" w:line="259" w:lineRule="auto"/>
              <w:ind w:hanging="357"/>
              <w:rPr>
                <w:rFonts w:ascii="Times New Roman" w:hAnsi="Times New Roman"/>
                <w:sz w:val="20"/>
                <w:szCs w:val="20"/>
              </w:rPr>
            </w:pPr>
            <w:r w:rsidRPr="0095531A">
              <w:rPr>
                <w:rFonts w:ascii="Times New Roman" w:hAnsi="Times New Roman"/>
                <w:sz w:val="20"/>
                <w:szCs w:val="20"/>
              </w:rPr>
              <w:t xml:space="preserve">For a certain channel bandwidth which RAN4 agree to introduce RF requirements: </w:t>
            </w:r>
          </w:p>
          <w:p w14:paraId="02ED6761" w14:textId="77777777" w:rsidR="0095531A" w:rsidRPr="0095531A" w:rsidRDefault="0095531A" w:rsidP="0095531A">
            <w:pPr>
              <w:pStyle w:val="ListParagraph"/>
              <w:numPr>
                <w:ilvl w:val="1"/>
                <w:numId w:val="28"/>
              </w:numPr>
              <w:spacing w:before="0" w:line="259" w:lineRule="auto"/>
              <w:ind w:hanging="357"/>
              <w:rPr>
                <w:rFonts w:ascii="Times New Roman" w:hAnsi="Times New Roman"/>
                <w:sz w:val="20"/>
                <w:szCs w:val="20"/>
              </w:rPr>
            </w:pPr>
            <w:r w:rsidRPr="0095531A">
              <w:rPr>
                <w:rFonts w:ascii="Times New Roman" w:hAnsi="Times New Roman"/>
                <w:sz w:val="20"/>
                <w:szCs w:val="20"/>
              </w:rPr>
              <w:t>FFS RAN4 only define the UL/DL subbands configuration(s) for RF requirements</w:t>
            </w:r>
          </w:p>
          <w:p w14:paraId="68A3A371" w14:textId="77777777" w:rsidR="0095531A" w:rsidRPr="0095531A" w:rsidRDefault="0095531A" w:rsidP="0095531A">
            <w:pPr>
              <w:pStyle w:val="ListParagraph"/>
              <w:numPr>
                <w:ilvl w:val="2"/>
                <w:numId w:val="28"/>
              </w:numPr>
              <w:spacing w:before="0" w:line="259" w:lineRule="auto"/>
              <w:ind w:hanging="357"/>
              <w:rPr>
                <w:rFonts w:ascii="Times New Roman" w:hAnsi="Times New Roman"/>
                <w:sz w:val="20"/>
                <w:szCs w:val="20"/>
              </w:rPr>
            </w:pPr>
            <w:r w:rsidRPr="0095531A">
              <w:rPr>
                <w:rFonts w:ascii="Times New Roman" w:hAnsi="Times New Roman"/>
                <w:sz w:val="20"/>
                <w:szCs w:val="20"/>
              </w:rPr>
              <w:t>FFS which UL/DL subbands configuration(s) will be defined in RAN4</w:t>
            </w:r>
          </w:p>
          <w:p w14:paraId="68C21086" w14:textId="77777777" w:rsidR="0095531A" w:rsidRPr="0095531A" w:rsidRDefault="0095531A" w:rsidP="0095531A">
            <w:pPr>
              <w:pStyle w:val="ListParagraph"/>
              <w:numPr>
                <w:ilvl w:val="2"/>
                <w:numId w:val="28"/>
              </w:numPr>
              <w:spacing w:before="0" w:line="259" w:lineRule="auto"/>
              <w:ind w:hanging="357"/>
              <w:rPr>
                <w:rFonts w:ascii="Times New Roman" w:hAnsi="Times New Roman"/>
                <w:sz w:val="20"/>
                <w:szCs w:val="20"/>
              </w:rPr>
            </w:pPr>
            <w:r w:rsidRPr="0095531A">
              <w:rPr>
                <w:rFonts w:ascii="Times New Roman" w:hAnsi="Times New Roman"/>
                <w:sz w:val="20"/>
                <w:szCs w:val="20"/>
              </w:rPr>
              <w:t>FFS Guard band size is declaration based and can be different for different BS classes</w:t>
            </w:r>
          </w:p>
          <w:p w14:paraId="7800D9CA" w14:textId="77777777" w:rsidR="0095531A" w:rsidRPr="0095531A" w:rsidRDefault="0095531A" w:rsidP="0095531A">
            <w:pPr>
              <w:pStyle w:val="ListParagraph"/>
              <w:numPr>
                <w:ilvl w:val="2"/>
                <w:numId w:val="28"/>
              </w:numPr>
              <w:spacing w:before="0" w:line="259" w:lineRule="auto"/>
              <w:ind w:hanging="357"/>
              <w:rPr>
                <w:rFonts w:ascii="Times New Roman" w:hAnsi="Times New Roman"/>
                <w:sz w:val="20"/>
                <w:szCs w:val="20"/>
              </w:rPr>
            </w:pPr>
            <w:r w:rsidRPr="0095531A">
              <w:rPr>
                <w:rFonts w:ascii="Times New Roman" w:hAnsi="Times New Roman"/>
                <w:sz w:val="20"/>
                <w:szCs w:val="20"/>
              </w:rPr>
              <w:t>FFS the limitation on the maximum guard band</w:t>
            </w:r>
          </w:p>
          <w:p w14:paraId="53B016EA" w14:textId="77777777" w:rsidR="0095531A" w:rsidRPr="0095531A" w:rsidRDefault="0095531A" w:rsidP="0095531A">
            <w:pPr>
              <w:pStyle w:val="ListParagraph"/>
              <w:numPr>
                <w:ilvl w:val="2"/>
                <w:numId w:val="28"/>
              </w:numPr>
              <w:overflowPunct w:val="0"/>
              <w:autoSpaceDE w:val="0"/>
              <w:autoSpaceDN w:val="0"/>
              <w:adjustRightInd w:val="0"/>
              <w:spacing w:before="0" w:line="259" w:lineRule="auto"/>
              <w:ind w:hanging="357"/>
              <w:textAlignment w:val="baseline"/>
              <w:rPr>
                <w:rFonts w:ascii="Times New Roman" w:eastAsia="SimSun" w:hAnsi="Times New Roman"/>
                <w:sz w:val="20"/>
                <w:szCs w:val="20"/>
              </w:rPr>
            </w:pPr>
            <w:r w:rsidRPr="0095531A">
              <w:rPr>
                <w:rFonts w:ascii="Times New Roman" w:eastAsia="SimSun" w:hAnsi="Times New Roman"/>
                <w:sz w:val="20"/>
                <w:szCs w:val="20"/>
              </w:rPr>
              <w:t>FFS possible range for UL/DL subband sizes</w:t>
            </w:r>
          </w:p>
          <w:p w14:paraId="256BE4A7" w14:textId="77777777" w:rsidR="0095531A" w:rsidRPr="0095531A" w:rsidRDefault="0095531A" w:rsidP="0095531A">
            <w:pPr>
              <w:pStyle w:val="ListParagraph"/>
              <w:numPr>
                <w:ilvl w:val="1"/>
                <w:numId w:val="28"/>
              </w:numPr>
              <w:overflowPunct w:val="0"/>
              <w:autoSpaceDE w:val="0"/>
              <w:autoSpaceDN w:val="0"/>
              <w:adjustRightInd w:val="0"/>
              <w:spacing w:before="0" w:line="259" w:lineRule="auto"/>
              <w:ind w:hanging="357"/>
              <w:textAlignment w:val="baseline"/>
              <w:rPr>
                <w:rFonts w:ascii="Times New Roman" w:eastAsia="SimSun" w:hAnsi="Times New Roman"/>
                <w:sz w:val="20"/>
                <w:szCs w:val="20"/>
              </w:rPr>
            </w:pPr>
            <w:r w:rsidRPr="0095531A">
              <w:rPr>
                <w:rFonts w:ascii="Times New Roman" w:eastAsia="SimSun" w:hAnsi="Times New Roman"/>
                <w:sz w:val="20"/>
                <w:szCs w:val="20"/>
              </w:rPr>
              <w:t xml:space="preserve">From RAN4 perspective, FFS restriction or no restriction to RAN1 definition for UL/DL subband sizes within the transmission configuration for this channel bandwidth, except: </w:t>
            </w:r>
          </w:p>
          <w:p w14:paraId="00DAECB2" w14:textId="36C87F76" w:rsidR="003F5C7C" w:rsidRPr="0095531A" w:rsidRDefault="0095531A" w:rsidP="0095531A">
            <w:pPr>
              <w:pStyle w:val="ListParagraph"/>
              <w:numPr>
                <w:ilvl w:val="2"/>
                <w:numId w:val="28"/>
              </w:numPr>
              <w:overflowPunct w:val="0"/>
              <w:autoSpaceDE w:val="0"/>
              <w:autoSpaceDN w:val="0"/>
              <w:adjustRightInd w:val="0"/>
              <w:spacing w:before="0" w:line="259" w:lineRule="auto"/>
              <w:ind w:hanging="357"/>
              <w:textAlignment w:val="baseline"/>
              <w:rPr>
                <w:rFonts w:eastAsia="SimSun"/>
                <w:szCs w:val="24"/>
              </w:rPr>
            </w:pPr>
            <w:r w:rsidRPr="0095531A">
              <w:rPr>
                <w:rFonts w:ascii="Times New Roman" w:eastAsia="SimSun" w:hAnsi="Times New Roman"/>
                <w:sz w:val="20"/>
                <w:szCs w:val="20"/>
              </w:rPr>
              <w:lastRenderedPageBreak/>
              <w:t>1RB granularity (already introduced in RAN1)</w:t>
            </w:r>
          </w:p>
        </w:tc>
      </w:tr>
    </w:tbl>
    <w:p w14:paraId="6E30BF72" w14:textId="77777777" w:rsidR="008B2997" w:rsidRDefault="008B2997" w:rsidP="00A5655B">
      <w:pPr>
        <w:jc w:val="both"/>
        <w:rPr>
          <w:lang w:val="en-GB"/>
        </w:rPr>
      </w:pPr>
    </w:p>
    <w:p w14:paraId="15AC14E2" w14:textId="64A0F551" w:rsidR="007E1ABB" w:rsidRDefault="00943DBF" w:rsidP="00A5655B">
      <w:pPr>
        <w:jc w:val="both"/>
        <w:rPr>
          <w:lang w:val="en-GB"/>
        </w:rPr>
      </w:pPr>
      <w:r>
        <w:rPr>
          <w:lang w:val="en-GB"/>
        </w:rPr>
        <w:t>For an SBFD-capable gNB, a</w:t>
      </w:r>
      <w:r w:rsidRPr="00142549">
        <w:rPr>
          <w:lang w:val="en-GB"/>
        </w:rPr>
        <w:t xml:space="preserve"> guardband may be needed at the gNB to protect </w:t>
      </w:r>
      <w:r>
        <w:rPr>
          <w:lang w:val="en-GB"/>
        </w:rPr>
        <w:t xml:space="preserve">UL reception within the </w:t>
      </w:r>
      <w:r w:rsidRPr="00142549">
        <w:rPr>
          <w:lang w:val="en-GB"/>
        </w:rPr>
        <w:t xml:space="preserve">UL subband </w:t>
      </w:r>
      <w:r>
        <w:rPr>
          <w:lang w:val="en-GB"/>
        </w:rPr>
        <w:t xml:space="preserve">and reduce the impact of </w:t>
      </w:r>
      <w:r w:rsidRPr="00142549">
        <w:rPr>
          <w:lang w:val="en-GB"/>
        </w:rPr>
        <w:t>self-</w:t>
      </w:r>
      <w:r w:rsidRPr="00C52030">
        <w:rPr>
          <w:lang w:val="en-GB"/>
        </w:rPr>
        <w:t>interference</w:t>
      </w:r>
      <w:r>
        <w:rPr>
          <w:lang w:val="en-GB"/>
        </w:rPr>
        <w:t xml:space="preserve">. </w:t>
      </w:r>
      <w:r w:rsidR="006C6FAA">
        <w:rPr>
          <w:lang w:val="en-GB"/>
        </w:rPr>
        <w:t>Generally</w:t>
      </w:r>
      <w:r w:rsidR="004068CA">
        <w:rPr>
          <w:lang w:val="en-GB"/>
        </w:rPr>
        <w:t>,</w:t>
      </w:r>
      <w:r w:rsidR="006C6FAA">
        <w:rPr>
          <w:lang w:val="en-GB"/>
        </w:rPr>
        <w:t xml:space="preserve"> there is a dependency between the amount of guardband needed and </w:t>
      </w:r>
      <w:r w:rsidR="004068CA">
        <w:rPr>
          <w:lang w:val="en-GB"/>
        </w:rPr>
        <w:t xml:space="preserve">the </w:t>
      </w:r>
      <w:r w:rsidR="006C6FAA">
        <w:rPr>
          <w:lang w:val="en-GB"/>
        </w:rPr>
        <w:t xml:space="preserve">gNB self-interference </w:t>
      </w:r>
      <w:r w:rsidR="004068CA">
        <w:rPr>
          <w:lang w:val="en-GB"/>
        </w:rPr>
        <w:t>cancellation capability.</w:t>
      </w:r>
      <w:r w:rsidR="006736CA">
        <w:rPr>
          <w:lang w:val="en-GB"/>
        </w:rPr>
        <w:t xml:space="preserve"> Additionally, how much guar</w:t>
      </w:r>
      <w:r w:rsidR="00A91E13">
        <w:rPr>
          <w:lang w:val="en-GB"/>
        </w:rPr>
        <w:t>d</w:t>
      </w:r>
      <w:r w:rsidR="006736CA">
        <w:rPr>
          <w:lang w:val="en-GB"/>
        </w:rPr>
        <w:t>band is needed also depends on the employed subband configuration</w:t>
      </w:r>
      <w:r w:rsidR="00C01F44">
        <w:rPr>
          <w:lang w:val="en-GB"/>
        </w:rPr>
        <w:t xml:space="preserve"> (e.g., DUD configuration might have different guardband assumptions compared to DU configuration). Accordingly, </w:t>
      </w:r>
      <w:r w:rsidR="006654A7">
        <w:rPr>
          <w:lang w:val="en-GB"/>
        </w:rPr>
        <w:t xml:space="preserve">RAN4 should first address how to capture the subband configuration aspect prior to specifying the guardband requirements. </w:t>
      </w:r>
      <w:r w:rsidR="00435B1D">
        <w:rPr>
          <w:lang w:val="en-GB"/>
        </w:rPr>
        <w:t xml:space="preserve">In our views, the subband configurations for FR1 and FR2-1 should be captured </w:t>
      </w:r>
      <w:r w:rsidR="008579BB">
        <w:rPr>
          <w:lang w:val="en-GB"/>
        </w:rPr>
        <w:t>within Clause 5.3 of</w:t>
      </w:r>
      <w:r w:rsidR="00722632">
        <w:rPr>
          <w:lang w:val="en-GB"/>
        </w:rPr>
        <w:t xml:space="preserve"> </w:t>
      </w:r>
      <w:r w:rsidR="008579BB">
        <w:rPr>
          <w:lang w:val="en-GB"/>
        </w:rPr>
        <w:t>TS 38.104 (</w:t>
      </w:r>
      <w:r w:rsidR="006134C5">
        <w:rPr>
          <w:lang w:val="en-GB"/>
        </w:rPr>
        <w:t>BS Channel Bandwidth)</w:t>
      </w:r>
      <w:r w:rsidR="00057DC7">
        <w:rPr>
          <w:lang w:val="en-GB"/>
        </w:rPr>
        <w:t>.</w:t>
      </w:r>
      <w:r w:rsidR="006134C5">
        <w:rPr>
          <w:lang w:val="en-GB"/>
        </w:rPr>
        <w:t xml:space="preserve"> So far, the typical subband configurations that has been studied within the SI phase are DUD and DU configurations. </w:t>
      </w:r>
      <w:r w:rsidR="00247A96">
        <w:rPr>
          <w:lang w:val="en-GB"/>
        </w:rPr>
        <w:t xml:space="preserve">For the question of </w:t>
      </w:r>
      <w:r w:rsidR="00247A96" w:rsidRPr="00247A96">
        <w:rPr>
          <w:lang w:val="en-GB"/>
        </w:rPr>
        <w:t>which channel bandwidth(s) or all channel bandwidths shall be defined for RF requirements</w:t>
      </w:r>
      <w:r w:rsidR="00247A96">
        <w:rPr>
          <w:lang w:val="en-GB"/>
        </w:rPr>
        <w:t xml:space="preserve">, we propose for RAN4 to consider </w:t>
      </w:r>
      <w:r w:rsidR="00F31311">
        <w:rPr>
          <w:lang w:val="en-GB"/>
        </w:rPr>
        <w:t>minimum the definition of the RF requirements as a function of the supported channel bandwidth. Hence, the definition of SBFD-capable gNB RF requirements should be done for all channel bandwidth</w:t>
      </w:r>
      <w:r w:rsidR="000E462D">
        <w:rPr>
          <w:lang w:val="en-GB"/>
        </w:rPr>
        <w:t xml:space="preserve"> supported according to the minimum channel bandwidth criteria (i.e., X MHz). </w:t>
      </w:r>
    </w:p>
    <w:p w14:paraId="4EB77D4F" w14:textId="1E55AA37" w:rsidR="000E462D" w:rsidRPr="000E462D" w:rsidRDefault="000E462D" w:rsidP="00A5655B">
      <w:pPr>
        <w:jc w:val="both"/>
        <w:rPr>
          <w:b/>
          <w:bCs/>
          <w:lang w:val="en-GB"/>
        </w:rPr>
      </w:pPr>
      <w:r w:rsidRPr="000E462D">
        <w:rPr>
          <w:b/>
          <w:bCs/>
          <w:u w:val="single"/>
          <w:lang w:val="en-GB"/>
        </w:rPr>
        <w:t>Proposal 5</w:t>
      </w:r>
      <w:r w:rsidRPr="000E462D">
        <w:rPr>
          <w:b/>
          <w:bCs/>
          <w:lang w:val="en-GB"/>
        </w:rPr>
        <w:t xml:space="preserve">: RAN4 to define RF requirements for all channel bandwidths that satisfy the minimum channel bandwidth criteria (i.e., larger than X MHz). </w:t>
      </w:r>
    </w:p>
    <w:p w14:paraId="3B245507" w14:textId="06C83971" w:rsidR="00943DBF" w:rsidRDefault="00F0289F" w:rsidP="0003651D">
      <w:pPr>
        <w:jc w:val="both"/>
        <w:rPr>
          <w:lang w:val="en-GB"/>
        </w:rPr>
      </w:pPr>
      <w:r w:rsidRPr="00F0289F">
        <w:rPr>
          <w:lang w:val="en-GB"/>
        </w:rPr>
        <w:t>Regarding the definition of the</w:t>
      </w:r>
      <w:r>
        <w:rPr>
          <w:lang w:val="en-GB"/>
        </w:rPr>
        <w:t xml:space="preserve"> </w:t>
      </w:r>
      <w:r w:rsidRPr="00F0289F">
        <w:rPr>
          <w:lang w:val="en-GB"/>
        </w:rPr>
        <w:t>UL/DL subbands configuration</w:t>
      </w:r>
      <w:r w:rsidR="000F369C">
        <w:rPr>
          <w:lang w:val="en-GB"/>
        </w:rPr>
        <w:t>s</w:t>
      </w:r>
      <w:r w:rsidRPr="00F0289F">
        <w:rPr>
          <w:lang w:val="en-GB"/>
        </w:rPr>
        <w:t xml:space="preserve"> for RF requirements</w:t>
      </w:r>
      <w:r>
        <w:rPr>
          <w:lang w:val="en-GB"/>
        </w:rPr>
        <w:t xml:space="preserve">, it is viable </w:t>
      </w:r>
      <w:r w:rsidR="00623F1B">
        <w:rPr>
          <w:lang w:val="en-GB"/>
        </w:rPr>
        <w:t>to consider a configuration-agnostic approach, such as the RF requirements are defined independent of the subband configuration</w:t>
      </w:r>
      <w:r w:rsidR="00AC08F0">
        <w:rPr>
          <w:lang w:val="en-GB"/>
        </w:rPr>
        <w:t>. The supported configuration themselves can be declaration-based in o</w:t>
      </w:r>
      <w:r w:rsidR="0079084A">
        <w:rPr>
          <w:lang w:val="en-GB"/>
        </w:rPr>
        <w:t xml:space="preserve">rder not to restrict SBFD deployment to a given set of </w:t>
      </w:r>
      <w:r w:rsidR="00B30BFD">
        <w:rPr>
          <w:lang w:val="en-GB"/>
        </w:rPr>
        <w:t xml:space="preserve">configurations. </w:t>
      </w:r>
    </w:p>
    <w:p w14:paraId="0F51EB9D" w14:textId="03EF96DB" w:rsidR="00E72958" w:rsidRDefault="00E72958" w:rsidP="0003651D">
      <w:pPr>
        <w:jc w:val="both"/>
        <w:rPr>
          <w:b/>
          <w:bCs/>
          <w:lang w:val="en-GB"/>
        </w:rPr>
      </w:pPr>
      <w:r w:rsidRPr="00E72958">
        <w:rPr>
          <w:b/>
          <w:bCs/>
          <w:u w:val="single"/>
          <w:lang w:val="en-GB"/>
        </w:rPr>
        <w:t>Observation 2</w:t>
      </w:r>
      <w:r w:rsidRPr="00E72958">
        <w:rPr>
          <w:b/>
          <w:bCs/>
          <w:lang w:val="en-GB"/>
        </w:rPr>
        <w:t xml:space="preserve">: An agnostic configuration approach in relation to the subband configuration should be considered in order not to restrict the normative work to a set of subband configurations. </w:t>
      </w:r>
    </w:p>
    <w:p w14:paraId="7A0773C3" w14:textId="1F10AD42" w:rsidR="00965782" w:rsidRDefault="00565BFF" w:rsidP="0003651D">
      <w:pPr>
        <w:jc w:val="both"/>
        <w:rPr>
          <w:lang w:val="en-GB"/>
        </w:rPr>
      </w:pPr>
      <w:r>
        <w:rPr>
          <w:lang w:val="en-GB"/>
        </w:rPr>
        <w:t xml:space="preserve">Additionally, RAN4 would need to specify the portion of each subband. A typical number that was assumed during the SI was 80% for the DL subband and 20% for the UL subband. There was no agreement in [4] on whether the subband bandwidth for either DL or UL should be matching to the supported channel bandwidth. </w:t>
      </w:r>
      <w:proofErr w:type="gramStart"/>
      <w:r>
        <w:rPr>
          <w:lang w:val="en-GB"/>
        </w:rPr>
        <w:t>Also</w:t>
      </w:r>
      <w:proofErr w:type="gramEnd"/>
      <w:r>
        <w:rPr>
          <w:lang w:val="en-GB"/>
        </w:rPr>
        <w:t xml:space="preserve"> from</w:t>
      </w:r>
      <w:r w:rsidR="00965782" w:rsidRPr="00965782">
        <w:rPr>
          <w:lang w:val="en-GB"/>
        </w:rPr>
        <w:t xml:space="preserve"> RAN1 perspective, no restriction is considered</w:t>
      </w:r>
      <w:r w:rsidR="00965782">
        <w:rPr>
          <w:lang w:val="en-GB"/>
        </w:rPr>
        <w:t xml:space="preserve"> in the normative phase on the sizes of the DL/UL subband configurations. It is desirable that RAN4 follow similar approach </w:t>
      </w:r>
      <w:r>
        <w:rPr>
          <w:lang w:val="en-GB"/>
        </w:rPr>
        <w:t xml:space="preserve">when defining the RF requirements for the gNB-capable SBFD. </w:t>
      </w:r>
    </w:p>
    <w:p w14:paraId="15D289B1" w14:textId="7E7E79C6" w:rsidR="00565BFF" w:rsidRPr="00565BFF" w:rsidRDefault="00565BFF" w:rsidP="0003651D">
      <w:pPr>
        <w:jc w:val="both"/>
        <w:rPr>
          <w:b/>
          <w:bCs/>
          <w:lang w:val="en-GB"/>
        </w:rPr>
      </w:pPr>
      <w:r w:rsidRPr="00565BFF">
        <w:rPr>
          <w:b/>
          <w:bCs/>
          <w:u w:val="single"/>
          <w:lang w:val="en-GB"/>
        </w:rPr>
        <w:t>Proposal 6</w:t>
      </w:r>
      <w:r w:rsidRPr="00565BFF">
        <w:rPr>
          <w:b/>
          <w:bCs/>
          <w:lang w:val="en-GB"/>
        </w:rPr>
        <w:t>: RAN4 to consider no restriction on the subband sizes when defining the RF requirements.</w:t>
      </w:r>
    </w:p>
    <w:p w14:paraId="028DCB12" w14:textId="14B417C1" w:rsidR="003660D4" w:rsidRDefault="003660D4">
      <w:pPr>
        <w:pStyle w:val="Heading2"/>
      </w:pPr>
      <w:r w:rsidRPr="003660D4">
        <w:t>BS RF Specification structure for SBFD requirements</w:t>
      </w:r>
    </w:p>
    <w:p w14:paraId="3D3FC1F7" w14:textId="21300F97" w:rsidR="003660D4" w:rsidRDefault="00413764" w:rsidP="003660D4">
      <w:pPr>
        <w:rPr>
          <w:lang w:val="en-GB"/>
        </w:rPr>
      </w:pPr>
      <w:r>
        <w:rPr>
          <w:lang w:val="en-GB"/>
        </w:rPr>
        <w:t>In [2], the following was agreed regarding how to include SBFD requirements in the core specifications</w:t>
      </w:r>
    </w:p>
    <w:tbl>
      <w:tblPr>
        <w:tblStyle w:val="TableGrid"/>
        <w:tblW w:w="0" w:type="auto"/>
        <w:tblLook w:val="04A0" w:firstRow="1" w:lastRow="0" w:firstColumn="1" w:lastColumn="0" w:noHBand="0" w:noVBand="1"/>
      </w:tblPr>
      <w:tblGrid>
        <w:gridCol w:w="9962"/>
      </w:tblGrid>
      <w:tr w:rsidR="00413764" w14:paraId="53D6876D" w14:textId="77777777" w:rsidTr="00413764">
        <w:tc>
          <w:tcPr>
            <w:tcW w:w="9962" w:type="dxa"/>
          </w:tcPr>
          <w:p w14:paraId="7E87AFB1" w14:textId="77777777" w:rsidR="00413764" w:rsidRPr="00413764" w:rsidRDefault="00413764" w:rsidP="00413764">
            <w:pPr>
              <w:pStyle w:val="ListParagraph"/>
              <w:numPr>
                <w:ilvl w:val="0"/>
                <w:numId w:val="30"/>
              </w:numPr>
              <w:spacing w:before="0" w:line="259" w:lineRule="auto"/>
              <w:ind w:hanging="357"/>
              <w:rPr>
                <w:rFonts w:ascii="Times New Roman" w:hAnsi="Times New Roman"/>
                <w:sz w:val="20"/>
                <w:szCs w:val="20"/>
              </w:rPr>
            </w:pPr>
            <w:r w:rsidRPr="00413764">
              <w:rPr>
                <w:rFonts w:ascii="Times New Roman" w:eastAsia="SimSun" w:hAnsi="Times New Roman"/>
                <w:sz w:val="20"/>
                <w:szCs w:val="20"/>
              </w:rPr>
              <w:t xml:space="preserve">How to introduce BS RF new requirements for SBFD-capable BS: </w:t>
            </w:r>
          </w:p>
          <w:p w14:paraId="366C1A1A" w14:textId="77777777" w:rsidR="00413764" w:rsidRPr="00413764" w:rsidRDefault="00413764" w:rsidP="00413764">
            <w:pPr>
              <w:pStyle w:val="ListParagraph"/>
              <w:numPr>
                <w:ilvl w:val="0"/>
                <w:numId w:val="30"/>
              </w:numPr>
              <w:spacing w:before="0" w:line="259" w:lineRule="auto"/>
              <w:ind w:hanging="357"/>
              <w:rPr>
                <w:rFonts w:ascii="Times New Roman" w:hAnsi="Times New Roman"/>
                <w:sz w:val="20"/>
                <w:szCs w:val="20"/>
              </w:rPr>
            </w:pPr>
            <w:r w:rsidRPr="00413764">
              <w:rPr>
                <w:rFonts w:ascii="Times New Roman" w:eastAsia="SimSun" w:hAnsi="Times New Roman"/>
                <w:sz w:val="20"/>
                <w:szCs w:val="20"/>
              </w:rPr>
              <w:t>FFS firstly the feasibility of creating new and standalone sub-clauses (e.g., with a suffix) in TS 38.104 for SBFD-specific existing or new gNB RF requirements</w:t>
            </w:r>
          </w:p>
          <w:p w14:paraId="6C323A93" w14:textId="77777777" w:rsidR="00413764" w:rsidRPr="00413764" w:rsidRDefault="00413764" w:rsidP="00413764">
            <w:pPr>
              <w:pStyle w:val="ListParagraph"/>
              <w:numPr>
                <w:ilvl w:val="1"/>
                <w:numId w:val="30"/>
              </w:numPr>
              <w:spacing w:before="0" w:line="259" w:lineRule="auto"/>
              <w:ind w:hanging="357"/>
              <w:rPr>
                <w:rFonts w:ascii="Times New Roman" w:hAnsi="Times New Roman"/>
                <w:sz w:val="20"/>
                <w:szCs w:val="20"/>
              </w:rPr>
            </w:pPr>
            <w:r w:rsidRPr="00413764">
              <w:rPr>
                <w:rFonts w:ascii="Times New Roman" w:hAnsi="Times New Roman"/>
                <w:sz w:val="20"/>
                <w:szCs w:val="20"/>
              </w:rPr>
              <w:t xml:space="preserve">FFS detailed how to implement such approach in the later phase of WI. </w:t>
            </w:r>
          </w:p>
          <w:p w14:paraId="4F498DEC" w14:textId="3C5537F7" w:rsidR="00413764" w:rsidRPr="00413764" w:rsidRDefault="00413764" w:rsidP="00413764">
            <w:pPr>
              <w:pStyle w:val="ListParagraph"/>
              <w:numPr>
                <w:ilvl w:val="0"/>
                <w:numId w:val="30"/>
              </w:numPr>
              <w:spacing w:before="0" w:line="259" w:lineRule="auto"/>
              <w:ind w:hanging="357"/>
            </w:pPr>
            <w:r w:rsidRPr="00413764">
              <w:rPr>
                <w:rFonts w:ascii="Times New Roman" w:hAnsi="Times New Roman"/>
                <w:sz w:val="20"/>
                <w:szCs w:val="20"/>
              </w:rPr>
              <w:t>FFS secondly the new specification for SBFD-capable BS</w:t>
            </w:r>
            <w:r>
              <w:t xml:space="preserve"> </w:t>
            </w:r>
          </w:p>
        </w:tc>
      </w:tr>
    </w:tbl>
    <w:p w14:paraId="03F3B240" w14:textId="77777777" w:rsidR="00795BE4" w:rsidRDefault="00795BE4" w:rsidP="00B9607E">
      <w:pPr>
        <w:overflowPunct/>
        <w:autoSpaceDE/>
        <w:autoSpaceDN/>
        <w:adjustRightInd/>
        <w:jc w:val="both"/>
        <w:textAlignment w:val="auto"/>
        <w:rPr>
          <w:lang w:val="en-GB"/>
        </w:rPr>
      </w:pPr>
    </w:p>
    <w:p w14:paraId="263CB730" w14:textId="4D1536B9" w:rsidR="00B9607E" w:rsidRPr="005F4555" w:rsidRDefault="00B9607E" w:rsidP="00B9607E">
      <w:pPr>
        <w:overflowPunct/>
        <w:autoSpaceDE/>
        <w:autoSpaceDN/>
        <w:adjustRightInd/>
        <w:jc w:val="both"/>
        <w:textAlignment w:val="auto"/>
        <w:rPr>
          <w:rFonts w:eastAsiaTheme="minorEastAsia"/>
        </w:rPr>
      </w:pPr>
      <w:r>
        <w:rPr>
          <w:lang w:val="en-GB"/>
        </w:rPr>
        <w:t>In our view, option one</w:t>
      </w:r>
      <w:r w:rsidR="009A7DD3">
        <w:rPr>
          <w:lang w:val="en-GB"/>
        </w:rPr>
        <w:t>, i.e., creating new and standalone sub-clauses,</w:t>
      </w:r>
      <w:r>
        <w:rPr>
          <w:lang w:val="en-GB"/>
        </w:rPr>
        <w:t xml:space="preserve"> is preferred as it makes the readability of the spec easier and aligns with UE core specification (TS 38.101-1). Such an approach has also been adopted in other studies (e.g., incorporation of mobile IAB feature into the IAB core and conformance specs TS 38.174, TS 38.176-1, and TS 38.176-2). An additional clause (e.g., Suffix B) should be used for indicating SBFD-specific requirements. </w:t>
      </w:r>
      <w:r>
        <w:rPr>
          <w:rFonts w:eastAsiaTheme="minorEastAsia"/>
        </w:rPr>
        <w:t>Additionally, a SBFD-capable gNB, which supports</w:t>
      </w:r>
      <w:r w:rsidRPr="00C87E44">
        <w:rPr>
          <w:rFonts w:eastAsiaTheme="minorEastAsia"/>
        </w:rPr>
        <w:t xml:space="preserve"> the </w:t>
      </w:r>
      <w:r>
        <w:rPr>
          <w:rFonts w:eastAsiaTheme="minorEastAsia"/>
        </w:rPr>
        <w:t>SBFD</w:t>
      </w:r>
      <w:r w:rsidRPr="00C87E44">
        <w:rPr>
          <w:rFonts w:eastAsiaTheme="minorEastAsia"/>
        </w:rPr>
        <w:t xml:space="preserve"> feature needs to meet both the general requirements </w:t>
      </w:r>
      <w:r>
        <w:rPr>
          <w:rFonts w:eastAsiaTheme="minorEastAsia"/>
        </w:rPr>
        <w:t xml:space="preserve">in the core spec </w:t>
      </w:r>
      <w:r w:rsidRPr="00C87E44">
        <w:rPr>
          <w:rFonts w:eastAsiaTheme="minorEastAsia"/>
        </w:rPr>
        <w:t xml:space="preserve">and the additional requirement </w:t>
      </w:r>
      <w:r>
        <w:rPr>
          <w:rFonts w:eastAsiaTheme="minorEastAsia"/>
        </w:rPr>
        <w:t>contained in</w:t>
      </w:r>
      <w:r w:rsidRPr="00C87E44">
        <w:rPr>
          <w:rFonts w:eastAsiaTheme="minorEastAsia"/>
        </w:rPr>
        <w:t xml:space="preserve"> the additional clause (suffixes B)</w:t>
      </w:r>
      <w:r>
        <w:rPr>
          <w:rFonts w:eastAsiaTheme="minorEastAsia"/>
        </w:rPr>
        <w:t xml:space="preserve">. In case there is </w:t>
      </w:r>
      <w:r w:rsidRPr="00C87E44">
        <w:rPr>
          <w:rFonts w:eastAsiaTheme="minorEastAsia"/>
        </w:rPr>
        <w:t>a difference in requirement between the general requirements and the additional clause requirements (suffix B), the tighter requirements are applicable unless stated otherwise in the additional clause.</w:t>
      </w:r>
      <w:r>
        <w:rPr>
          <w:rFonts w:eastAsiaTheme="minorEastAsia"/>
        </w:rPr>
        <w:t xml:space="preserve"> </w:t>
      </w:r>
    </w:p>
    <w:p w14:paraId="7A0B800F" w14:textId="3901804F" w:rsidR="00B9607E" w:rsidRPr="008A685F" w:rsidRDefault="00B9607E" w:rsidP="008A685F">
      <w:pPr>
        <w:jc w:val="both"/>
        <w:rPr>
          <w:b/>
          <w:bCs/>
          <w:lang w:val="en-GB"/>
        </w:rPr>
      </w:pPr>
      <w:r w:rsidRPr="00C72CEE">
        <w:rPr>
          <w:b/>
          <w:bCs/>
          <w:u w:val="single"/>
          <w:lang w:val="en-GB"/>
        </w:rPr>
        <w:t xml:space="preserve">Proposal </w:t>
      </w:r>
      <w:r w:rsidR="00C43F26">
        <w:rPr>
          <w:b/>
          <w:bCs/>
          <w:u w:val="single"/>
          <w:lang w:val="en-GB"/>
        </w:rPr>
        <w:t>7</w:t>
      </w:r>
      <w:r w:rsidRPr="00C72CEE">
        <w:rPr>
          <w:b/>
          <w:bCs/>
          <w:lang w:val="en-GB"/>
        </w:rPr>
        <w:t xml:space="preserve">: To enhance the readability of the spec, it is preferable to have standalone sub-clauses in </w:t>
      </w:r>
      <w:r w:rsidR="009A7DD3">
        <w:rPr>
          <w:b/>
          <w:bCs/>
          <w:lang w:val="en-GB"/>
        </w:rPr>
        <w:t>core specs</w:t>
      </w:r>
      <w:r w:rsidRPr="00C72CEE">
        <w:rPr>
          <w:b/>
          <w:bCs/>
          <w:lang w:val="en-GB"/>
        </w:rPr>
        <w:t xml:space="preserve"> for SBFD-specific existing or new gNB RF requirements. </w:t>
      </w:r>
    </w:p>
    <w:p w14:paraId="46DCD988" w14:textId="77777777" w:rsidR="00A37CEF" w:rsidRDefault="00A37CEF" w:rsidP="0003651D">
      <w:pPr>
        <w:pStyle w:val="Heading1"/>
        <w:jc w:val="both"/>
      </w:pPr>
      <w:r>
        <w:lastRenderedPageBreak/>
        <w:t>Conclusion</w:t>
      </w:r>
    </w:p>
    <w:p w14:paraId="21920010" w14:textId="7AE10EC4" w:rsidR="00A37CEF" w:rsidRDefault="00A37CEF" w:rsidP="0003651D">
      <w:pPr>
        <w:jc w:val="both"/>
      </w:pPr>
      <w:r w:rsidRPr="00A562B7">
        <w:t>In</w:t>
      </w:r>
      <w:r>
        <w:t xml:space="preserve"> </w:t>
      </w:r>
      <w:r w:rsidRPr="00A562B7">
        <w:t>this</w:t>
      </w:r>
      <w:r>
        <w:t xml:space="preserve"> </w:t>
      </w:r>
      <w:r w:rsidRPr="00A562B7">
        <w:t>contribution,</w:t>
      </w:r>
      <w:r>
        <w:t xml:space="preserve"> </w:t>
      </w:r>
      <w:r w:rsidRPr="00A562B7">
        <w:t>we</w:t>
      </w:r>
      <w:r>
        <w:t xml:space="preserve"> </w:t>
      </w:r>
      <w:r w:rsidRPr="00A562B7">
        <w:t>provid</w:t>
      </w:r>
      <w:r>
        <w:t xml:space="preserve">ed our views on </w:t>
      </w:r>
      <w:r w:rsidR="00662E4D">
        <w:t>general aspects</w:t>
      </w:r>
      <w:r w:rsidR="00CE7110">
        <w:t xml:space="preserve"> for SBFD </w:t>
      </w:r>
      <w:r w:rsidR="00662E4D">
        <w:t xml:space="preserve">operation </w:t>
      </w:r>
      <w:r w:rsidRPr="00A562B7">
        <w:t>with</w:t>
      </w:r>
      <w:r>
        <w:t xml:space="preserve"> the </w:t>
      </w:r>
      <w:r w:rsidRPr="00A562B7">
        <w:t>following</w:t>
      </w:r>
      <w:r>
        <w:t xml:space="preserve"> observations and </w:t>
      </w:r>
      <w:r w:rsidRPr="00A562B7">
        <w:t>proposals:</w:t>
      </w:r>
    </w:p>
    <w:p w14:paraId="22A1B5DF" w14:textId="77777777" w:rsidR="00C43F26" w:rsidRDefault="00C43F26" w:rsidP="00C43F26">
      <w:pPr>
        <w:jc w:val="both"/>
        <w:rPr>
          <w:rFonts w:eastAsia="Times New Roman"/>
          <w:b/>
          <w:bCs/>
          <w:lang w:eastAsia="ja-JP"/>
        </w:rPr>
      </w:pPr>
      <w:r>
        <w:rPr>
          <w:rFonts w:eastAsia="Times New Roman"/>
          <w:b/>
          <w:bCs/>
          <w:u w:val="single"/>
          <w:lang w:eastAsia="ja-JP"/>
        </w:rPr>
        <w:t>Observation 1</w:t>
      </w:r>
      <w:r>
        <w:rPr>
          <w:rFonts w:eastAsia="Times New Roman"/>
          <w:b/>
          <w:bCs/>
          <w:lang w:eastAsia="ja-JP"/>
        </w:rPr>
        <w:t xml:space="preserve">: SBFD can be operated in any TDD with sufficient channel bandwidth. </w:t>
      </w:r>
    </w:p>
    <w:p w14:paraId="2F8FB0D3" w14:textId="2FA517FA" w:rsidR="00233BC7" w:rsidRPr="00FC6786" w:rsidRDefault="00233BC7" w:rsidP="00233BC7">
      <w:pPr>
        <w:jc w:val="both"/>
        <w:rPr>
          <w:b/>
          <w:bCs/>
        </w:rPr>
      </w:pPr>
      <w:r w:rsidRPr="00D73A82">
        <w:rPr>
          <w:rFonts w:eastAsia="Times New Roman"/>
          <w:b/>
          <w:bCs/>
          <w:u w:val="single"/>
          <w:lang w:eastAsia="ja-JP"/>
        </w:rPr>
        <w:t>Proposal 1</w:t>
      </w:r>
      <w:r>
        <w:rPr>
          <w:rFonts w:eastAsia="Times New Roman"/>
          <w:b/>
          <w:bCs/>
          <w:lang w:eastAsia="ja-JP"/>
        </w:rPr>
        <w:t>: If RAN4 agreed to consider SBFD support for a given TDD band as declaration based, it is viable to inclu</w:t>
      </w:r>
      <w:r w:rsidRPr="00846D88">
        <w:rPr>
          <w:rFonts w:eastAsia="Times New Roman"/>
          <w:b/>
          <w:bCs/>
          <w:lang w:eastAsia="ja-JP"/>
        </w:rPr>
        <w:t xml:space="preserve">de the following text in Clause 5.2 in TS 38.104: </w:t>
      </w:r>
      <w:r w:rsidRPr="00846D88">
        <w:rPr>
          <w:rFonts w:eastAsia="Times New Roman"/>
          <w:b/>
          <w:bCs/>
          <w:i/>
          <w:iCs/>
          <w:lang w:eastAsia="ja-JP"/>
        </w:rPr>
        <w:t>subband full duplex can be applied to TDD bands</w:t>
      </w:r>
      <w:r>
        <w:rPr>
          <w:rFonts w:eastAsia="Times New Roman"/>
          <w:b/>
          <w:bCs/>
          <w:i/>
          <w:iCs/>
          <w:lang w:eastAsia="ja-JP"/>
        </w:rPr>
        <w:t xml:space="preserve"> </w:t>
      </w:r>
      <w:r w:rsidRPr="00846D88">
        <w:rPr>
          <w:rFonts w:eastAsia="Times New Roman"/>
          <w:b/>
          <w:bCs/>
          <w:i/>
          <w:iCs/>
          <w:lang w:eastAsia="ja-JP"/>
        </w:rPr>
        <w:t>given in Table 5.2-1</w:t>
      </w:r>
      <w:r w:rsidRPr="00846D88">
        <w:rPr>
          <w:rFonts w:eastAsia="Times New Roman"/>
          <w:b/>
          <w:bCs/>
          <w:lang w:eastAsia="ja-JP"/>
        </w:rPr>
        <w:t>.</w:t>
      </w:r>
    </w:p>
    <w:p w14:paraId="01F8AD62" w14:textId="77777777" w:rsidR="00184345" w:rsidRDefault="00184345" w:rsidP="00184345">
      <w:pPr>
        <w:jc w:val="both"/>
        <w:rPr>
          <w:rFonts w:eastAsia="Times New Roman"/>
          <w:b/>
          <w:bCs/>
          <w:lang w:eastAsia="ja-JP"/>
        </w:rPr>
      </w:pPr>
      <w:r w:rsidRPr="00E664AC">
        <w:rPr>
          <w:rFonts w:eastAsia="Times New Roman"/>
          <w:b/>
          <w:bCs/>
          <w:u w:val="single"/>
          <w:lang w:eastAsia="ja-JP"/>
        </w:rPr>
        <w:t>Proposal 2</w:t>
      </w:r>
      <w:r w:rsidRPr="00E664AC">
        <w:rPr>
          <w:rFonts w:eastAsia="Times New Roman"/>
          <w:b/>
          <w:bCs/>
          <w:lang w:eastAsia="ja-JP"/>
        </w:rPr>
        <w:t xml:space="preserve">: RAN4 should consider a band-generic and technical criteria for exclusion of </w:t>
      </w:r>
      <w:r>
        <w:rPr>
          <w:rFonts w:eastAsia="Times New Roman"/>
          <w:b/>
          <w:bCs/>
          <w:lang w:eastAsia="ja-JP"/>
        </w:rPr>
        <w:t>certain</w:t>
      </w:r>
      <w:r w:rsidRPr="00E664AC">
        <w:rPr>
          <w:rFonts w:eastAsia="Times New Roman"/>
          <w:b/>
          <w:bCs/>
          <w:lang w:eastAsia="ja-JP"/>
        </w:rPr>
        <w:t xml:space="preserve"> TDD bands when considering the SBFD feature. Such a natural criterion is the </w:t>
      </w:r>
      <w:r>
        <w:rPr>
          <w:rFonts w:eastAsia="Times New Roman"/>
          <w:b/>
          <w:bCs/>
          <w:lang w:eastAsia="ja-JP"/>
        </w:rPr>
        <w:t xml:space="preserve">band </w:t>
      </w:r>
      <w:r w:rsidRPr="00E664AC">
        <w:rPr>
          <w:rFonts w:eastAsia="Times New Roman"/>
          <w:b/>
          <w:bCs/>
          <w:lang w:eastAsia="ja-JP"/>
        </w:rPr>
        <w:t xml:space="preserve">bandwidth </w:t>
      </w:r>
      <w:r>
        <w:rPr>
          <w:rFonts w:eastAsia="Times New Roman"/>
          <w:b/>
          <w:bCs/>
          <w:lang w:eastAsia="ja-JP"/>
        </w:rPr>
        <w:t xml:space="preserve">being </w:t>
      </w:r>
      <w:r w:rsidRPr="00E664AC">
        <w:rPr>
          <w:rFonts w:eastAsia="Times New Roman"/>
          <w:b/>
          <w:bCs/>
          <w:lang w:eastAsia="ja-JP"/>
        </w:rPr>
        <w:t xml:space="preserve">less than X MHz. </w:t>
      </w:r>
    </w:p>
    <w:p w14:paraId="04C7C19E" w14:textId="77777777" w:rsidR="00246AB4" w:rsidRPr="006777D9" w:rsidRDefault="00246AB4" w:rsidP="00246AB4">
      <w:pPr>
        <w:jc w:val="both"/>
        <w:rPr>
          <w:rFonts w:eastAsia="Times New Roman"/>
          <w:b/>
          <w:bCs/>
          <w:lang w:eastAsia="ja-JP"/>
        </w:rPr>
      </w:pPr>
      <w:r w:rsidRPr="006777D9">
        <w:rPr>
          <w:rFonts w:eastAsia="Times New Roman"/>
          <w:b/>
          <w:bCs/>
          <w:u w:val="single"/>
          <w:lang w:eastAsia="ja-JP"/>
        </w:rPr>
        <w:t>Proposal 3</w:t>
      </w:r>
      <w:r>
        <w:rPr>
          <w:rFonts w:eastAsia="Times New Roman"/>
          <w:b/>
          <w:bCs/>
          <w:lang w:eastAsia="ja-JP"/>
        </w:rPr>
        <w:t xml:space="preserve">: RAN4 to agree on the </w:t>
      </w:r>
      <w:r w:rsidRPr="0011441F">
        <w:rPr>
          <w:rFonts w:eastAsia="Times New Roman"/>
          <w:b/>
          <w:bCs/>
          <w:lang w:eastAsia="ja-JP"/>
        </w:rPr>
        <w:t>value of X after</w:t>
      </w:r>
      <w:r>
        <w:rPr>
          <w:rFonts w:eastAsia="Times New Roman"/>
          <w:b/>
          <w:bCs/>
          <w:lang w:eastAsia="ja-JP"/>
        </w:rPr>
        <w:t xml:space="preserve"> agreeing on the minimum guard band requirements and subband sizes for both DUD and DU subband configurations.</w:t>
      </w:r>
    </w:p>
    <w:p w14:paraId="72EDAFB1" w14:textId="77777777" w:rsidR="00C43F26" w:rsidRPr="00151889" w:rsidRDefault="00C43F26" w:rsidP="00C43F26">
      <w:pPr>
        <w:jc w:val="both"/>
        <w:rPr>
          <w:rFonts w:eastAsia="Times New Roman"/>
          <w:b/>
          <w:bCs/>
          <w:lang w:eastAsia="ja-JP"/>
        </w:rPr>
      </w:pPr>
      <w:r w:rsidRPr="00151889">
        <w:rPr>
          <w:rFonts w:eastAsia="Times New Roman"/>
          <w:b/>
          <w:bCs/>
          <w:u w:val="single"/>
          <w:lang w:eastAsia="ja-JP"/>
        </w:rPr>
        <w:t>Proposal 4</w:t>
      </w:r>
      <w:r>
        <w:rPr>
          <w:rFonts w:eastAsia="Times New Roman"/>
          <w:b/>
          <w:bCs/>
          <w:lang w:eastAsia="ja-JP"/>
        </w:rPr>
        <w:t xml:space="preserve">: RAN4 to </w:t>
      </w:r>
      <w:r w:rsidRPr="00151889">
        <w:rPr>
          <w:rFonts w:eastAsia="Times New Roman"/>
          <w:b/>
          <w:bCs/>
          <w:lang w:eastAsia="ja-JP"/>
        </w:rPr>
        <w:t xml:space="preserve">define RF requirements with no CLI handling as a baseline and revisited </w:t>
      </w:r>
      <w:proofErr w:type="gramStart"/>
      <w:r w:rsidRPr="00151889">
        <w:rPr>
          <w:rFonts w:eastAsia="Times New Roman"/>
          <w:b/>
          <w:bCs/>
          <w:lang w:eastAsia="ja-JP"/>
        </w:rPr>
        <w:t>particular RF</w:t>
      </w:r>
      <w:proofErr w:type="gramEnd"/>
      <w:r w:rsidRPr="00151889">
        <w:rPr>
          <w:rFonts w:eastAsia="Times New Roman"/>
          <w:b/>
          <w:bCs/>
          <w:lang w:eastAsia="ja-JP"/>
        </w:rPr>
        <w:t xml:space="preserve"> requirements pending on RAN1 progress on the CLI handling work.</w:t>
      </w:r>
    </w:p>
    <w:p w14:paraId="5DFAE7E7" w14:textId="77777777" w:rsidR="00C43F26" w:rsidRPr="000E462D" w:rsidRDefault="00C43F26" w:rsidP="00C43F26">
      <w:pPr>
        <w:jc w:val="both"/>
        <w:rPr>
          <w:b/>
          <w:bCs/>
          <w:lang w:val="en-GB"/>
        </w:rPr>
      </w:pPr>
      <w:r w:rsidRPr="000E462D">
        <w:rPr>
          <w:b/>
          <w:bCs/>
          <w:u w:val="single"/>
          <w:lang w:val="en-GB"/>
        </w:rPr>
        <w:t>Proposal 5</w:t>
      </w:r>
      <w:r w:rsidRPr="000E462D">
        <w:rPr>
          <w:b/>
          <w:bCs/>
          <w:lang w:val="en-GB"/>
        </w:rPr>
        <w:t xml:space="preserve">: RAN4 to define RF requirements for all channel bandwidths that satisfy the minimum channel bandwidth criteria (i.e., larger than X MHz). </w:t>
      </w:r>
    </w:p>
    <w:p w14:paraId="20AC538A" w14:textId="77777777" w:rsidR="00C43F26" w:rsidRDefault="00C43F26" w:rsidP="00C43F26">
      <w:pPr>
        <w:jc w:val="both"/>
        <w:rPr>
          <w:b/>
          <w:bCs/>
          <w:lang w:val="en-GB"/>
        </w:rPr>
      </w:pPr>
      <w:r w:rsidRPr="00E72958">
        <w:rPr>
          <w:b/>
          <w:bCs/>
          <w:u w:val="single"/>
          <w:lang w:val="en-GB"/>
        </w:rPr>
        <w:t>Observation 2</w:t>
      </w:r>
      <w:r w:rsidRPr="00E72958">
        <w:rPr>
          <w:b/>
          <w:bCs/>
          <w:lang w:val="en-GB"/>
        </w:rPr>
        <w:t xml:space="preserve">: An agnostic configuration approach in relation to the subband configuration should be considered in order not to restrict the normative work to a set of subband configurations. </w:t>
      </w:r>
    </w:p>
    <w:p w14:paraId="3121B209" w14:textId="77777777" w:rsidR="00C43F26" w:rsidRPr="00565BFF" w:rsidRDefault="00C43F26" w:rsidP="00C43F26">
      <w:pPr>
        <w:jc w:val="both"/>
        <w:rPr>
          <w:b/>
          <w:bCs/>
          <w:lang w:val="en-GB"/>
        </w:rPr>
      </w:pPr>
      <w:r w:rsidRPr="00565BFF">
        <w:rPr>
          <w:b/>
          <w:bCs/>
          <w:u w:val="single"/>
          <w:lang w:val="en-GB"/>
        </w:rPr>
        <w:t>Proposal 6</w:t>
      </w:r>
      <w:r w:rsidRPr="00565BFF">
        <w:rPr>
          <w:b/>
          <w:bCs/>
          <w:lang w:val="en-GB"/>
        </w:rPr>
        <w:t>: RAN4 to consider no restriction on the subband sizes when defining the RF requirements.</w:t>
      </w:r>
    </w:p>
    <w:p w14:paraId="0F116FAB" w14:textId="26A9EB51" w:rsidR="00C43F26" w:rsidRPr="00C43F26" w:rsidRDefault="00C43F26" w:rsidP="00C43F26">
      <w:pPr>
        <w:jc w:val="both"/>
        <w:rPr>
          <w:b/>
          <w:bCs/>
          <w:lang w:val="en-GB"/>
        </w:rPr>
      </w:pPr>
      <w:r w:rsidRPr="00C72CEE">
        <w:rPr>
          <w:b/>
          <w:bCs/>
          <w:u w:val="single"/>
          <w:lang w:val="en-GB"/>
        </w:rPr>
        <w:t xml:space="preserve">Proposal </w:t>
      </w:r>
      <w:r>
        <w:rPr>
          <w:b/>
          <w:bCs/>
          <w:u w:val="single"/>
          <w:lang w:val="en-GB"/>
        </w:rPr>
        <w:t>7</w:t>
      </w:r>
      <w:r w:rsidRPr="00C72CEE">
        <w:rPr>
          <w:b/>
          <w:bCs/>
          <w:lang w:val="en-GB"/>
        </w:rPr>
        <w:t xml:space="preserve">: To enhance the readability of the spec, it is preferable to have standalone sub-clauses in </w:t>
      </w:r>
      <w:r>
        <w:rPr>
          <w:b/>
          <w:bCs/>
          <w:lang w:val="en-GB"/>
        </w:rPr>
        <w:t>core specs</w:t>
      </w:r>
      <w:r w:rsidRPr="00C72CEE">
        <w:rPr>
          <w:b/>
          <w:bCs/>
          <w:lang w:val="en-GB"/>
        </w:rPr>
        <w:t xml:space="preserve"> for SBFD-specific existing or new gNB RF requirements. </w:t>
      </w:r>
    </w:p>
    <w:p w14:paraId="2B7C1C2C" w14:textId="77777777" w:rsidR="00A37CEF" w:rsidRPr="00D54742" w:rsidRDefault="00A37CEF" w:rsidP="0003651D">
      <w:pPr>
        <w:pStyle w:val="Heading1"/>
        <w:jc w:val="both"/>
      </w:pPr>
      <w:r>
        <w:t>References</w:t>
      </w:r>
    </w:p>
    <w:p w14:paraId="53518240" w14:textId="1A6E21E2" w:rsidR="00A37CEF" w:rsidRDefault="00753211" w:rsidP="0003651D">
      <w:pPr>
        <w:pStyle w:val="References"/>
        <w:numPr>
          <w:ilvl w:val="0"/>
          <w:numId w:val="2"/>
        </w:numPr>
        <w:autoSpaceDE/>
        <w:autoSpaceDN/>
        <w:snapToGrid/>
        <w:spacing w:after="80" w:line="256" w:lineRule="auto"/>
        <w:rPr>
          <w:szCs w:val="20"/>
          <w:lang w:val="en-GB"/>
        </w:rPr>
      </w:pPr>
      <w:bookmarkStart w:id="17" w:name="_Ref47616084"/>
      <w:bookmarkStart w:id="18" w:name="_Ref32439522"/>
      <w:r w:rsidRPr="00753211">
        <w:rPr>
          <w:szCs w:val="20"/>
          <w:lang w:val="en-GB"/>
        </w:rPr>
        <w:t>RP-240789</w:t>
      </w:r>
      <w:r w:rsidR="00A37CEF" w:rsidRPr="005C32DA">
        <w:rPr>
          <w:szCs w:val="20"/>
          <w:lang w:val="en-GB"/>
        </w:rPr>
        <w:t xml:space="preserve"> </w:t>
      </w:r>
      <w:r w:rsidR="00A37CEF" w:rsidRPr="00785E35">
        <w:rPr>
          <w:szCs w:val="20"/>
          <w:lang w:val="en-GB"/>
        </w:rPr>
        <w:t>“</w:t>
      </w:r>
      <w:r w:rsidR="003B0C33">
        <w:rPr>
          <w:szCs w:val="20"/>
          <w:lang w:val="en-GB"/>
        </w:rPr>
        <w:t>Revised</w:t>
      </w:r>
      <w:r w:rsidR="00A37CEF" w:rsidRPr="005945B3">
        <w:rPr>
          <w:szCs w:val="20"/>
          <w:lang w:val="en-GB"/>
        </w:rPr>
        <w:t xml:space="preserve"> WID: Evolution of NR duplex operation: Sub-band full duplex (SBFD)</w:t>
      </w:r>
      <w:r w:rsidR="00A37CEF" w:rsidRPr="00785E35">
        <w:rPr>
          <w:szCs w:val="20"/>
          <w:lang w:val="en-GB"/>
        </w:rPr>
        <w:t xml:space="preserve">”, </w:t>
      </w:r>
      <w:r w:rsidR="00460441">
        <w:rPr>
          <w:szCs w:val="20"/>
          <w:lang w:val="en-GB"/>
        </w:rPr>
        <w:t xml:space="preserve">Huawei, </w:t>
      </w:r>
      <w:r w:rsidR="00042F87">
        <w:rPr>
          <w:szCs w:val="20"/>
          <w:lang w:val="en-GB"/>
        </w:rPr>
        <w:t>Hi</w:t>
      </w:r>
      <w:r w:rsidR="002E7C21">
        <w:rPr>
          <w:szCs w:val="20"/>
          <w:lang w:val="en-GB"/>
        </w:rPr>
        <w:t>Silicon</w:t>
      </w:r>
      <w:r w:rsidR="00A37CEF" w:rsidRPr="00785E35">
        <w:rPr>
          <w:szCs w:val="20"/>
          <w:lang w:val="en-GB"/>
        </w:rPr>
        <w:t xml:space="preserve">, </w:t>
      </w:r>
      <w:r w:rsidR="00A37CEF" w:rsidRPr="003E1C6B">
        <w:rPr>
          <w:szCs w:val="20"/>
          <w:lang w:val="en-GB"/>
        </w:rPr>
        <w:t>3GPP TSG RAN#</w:t>
      </w:r>
      <w:r w:rsidR="00A37CEF">
        <w:rPr>
          <w:szCs w:val="20"/>
          <w:lang w:val="en-GB"/>
        </w:rPr>
        <w:t>10</w:t>
      </w:r>
      <w:r w:rsidR="0089771A">
        <w:rPr>
          <w:szCs w:val="20"/>
          <w:lang w:val="en-GB"/>
        </w:rPr>
        <w:t>3</w:t>
      </w:r>
      <w:r w:rsidR="00A37CEF" w:rsidRPr="00785E35">
        <w:rPr>
          <w:szCs w:val="20"/>
          <w:lang w:val="en-GB"/>
        </w:rPr>
        <w:t>.</w:t>
      </w:r>
      <w:bookmarkEnd w:id="17"/>
    </w:p>
    <w:p w14:paraId="59C1EE27" w14:textId="59D25CF7" w:rsidR="0023172D" w:rsidRDefault="00F630AF" w:rsidP="0003651D">
      <w:pPr>
        <w:pStyle w:val="References"/>
        <w:numPr>
          <w:ilvl w:val="0"/>
          <w:numId w:val="2"/>
        </w:numPr>
        <w:autoSpaceDE/>
        <w:autoSpaceDN/>
        <w:snapToGrid/>
        <w:spacing w:after="80" w:line="256" w:lineRule="auto"/>
        <w:rPr>
          <w:szCs w:val="20"/>
          <w:lang w:val="en-GB"/>
        </w:rPr>
      </w:pPr>
      <w:r w:rsidRPr="00F630AF">
        <w:rPr>
          <w:szCs w:val="20"/>
          <w:lang w:val="en-GB"/>
        </w:rPr>
        <w:t>R4-2409958</w:t>
      </w:r>
      <w:r w:rsidR="0023172D" w:rsidRPr="00A37CEF">
        <w:rPr>
          <w:szCs w:val="20"/>
          <w:lang w:val="en-GB"/>
        </w:rPr>
        <w:t>, “</w:t>
      </w:r>
      <w:r w:rsidR="009C07A6" w:rsidRPr="009C07A6">
        <w:rPr>
          <w:szCs w:val="20"/>
          <w:lang w:val="en-GB"/>
        </w:rPr>
        <w:t>Way Forward for [11</w:t>
      </w:r>
      <w:r w:rsidR="00AD00EB">
        <w:rPr>
          <w:szCs w:val="20"/>
          <w:lang w:val="en-GB"/>
        </w:rPr>
        <w:t>1</w:t>
      </w:r>
      <w:r w:rsidR="009C07A6" w:rsidRPr="009C07A6">
        <w:rPr>
          <w:szCs w:val="20"/>
          <w:lang w:val="en-GB"/>
        </w:rPr>
        <w:t>][313] NR_duplex_evo</w:t>
      </w:r>
      <w:r w:rsidR="0023172D" w:rsidRPr="00A37CEF">
        <w:rPr>
          <w:szCs w:val="20"/>
          <w:lang w:val="en-GB"/>
        </w:rPr>
        <w:t xml:space="preserve">”, </w:t>
      </w:r>
      <w:r w:rsidR="00E57003">
        <w:rPr>
          <w:szCs w:val="20"/>
          <w:lang w:val="en-GB"/>
        </w:rPr>
        <w:t>RAN4#11</w:t>
      </w:r>
      <w:r w:rsidR="00AD00EB">
        <w:rPr>
          <w:szCs w:val="20"/>
          <w:lang w:val="en-GB"/>
        </w:rPr>
        <w:t>1</w:t>
      </w:r>
      <w:r w:rsidR="00E57003">
        <w:rPr>
          <w:szCs w:val="20"/>
          <w:lang w:val="en-GB"/>
        </w:rPr>
        <w:t>, Samsung</w:t>
      </w:r>
      <w:r w:rsidR="0023172D" w:rsidRPr="00A37CEF">
        <w:rPr>
          <w:szCs w:val="20"/>
          <w:lang w:val="en-GB"/>
        </w:rPr>
        <w:t xml:space="preserve">. </w:t>
      </w:r>
    </w:p>
    <w:p w14:paraId="542410E0" w14:textId="1E8BE970" w:rsidR="00662E4D" w:rsidRPr="009C07A6" w:rsidRDefault="0062393D" w:rsidP="0003651D">
      <w:pPr>
        <w:pStyle w:val="References"/>
        <w:numPr>
          <w:ilvl w:val="0"/>
          <w:numId w:val="2"/>
        </w:numPr>
        <w:autoSpaceDE/>
        <w:autoSpaceDN/>
        <w:snapToGrid/>
        <w:spacing w:after="80" w:line="256" w:lineRule="auto"/>
        <w:rPr>
          <w:szCs w:val="20"/>
          <w:lang w:val="en-GB"/>
        </w:rPr>
      </w:pPr>
      <w:r w:rsidRPr="0062393D">
        <w:rPr>
          <w:szCs w:val="20"/>
          <w:lang w:val="en-GB"/>
        </w:rPr>
        <w:t>R4-2410108</w:t>
      </w:r>
      <w:r w:rsidR="00662E4D" w:rsidRPr="001218B6">
        <w:rPr>
          <w:szCs w:val="20"/>
          <w:lang w:val="en-GB"/>
        </w:rPr>
        <w:t>, “</w:t>
      </w:r>
      <w:r w:rsidR="001218B6" w:rsidRPr="001218B6">
        <w:rPr>
          <w:szCs w:val="20"/>
          <w:lang w:val="en-GB"/>
        </w:rPr>
        <w:t>Topic summary for [11</w:t>
      </w:r>
      <w:r>
        <w:rPr>
          <w:szCs w:val="20"/>
          <w:lang w:val="en-GB"/>
        </w:rPr>
        <w:t>1</w:t>
      </w:r>
      <w:r w:rsidR="001218B6" w:rsidRPr="001218B6">
        <w:rPr>
          <w:szCs w:val="20"/>
          <w:lang w:val="en-GB"/>
        </w:rPr>
        <w:t>][313] NR_duplex_evo”, RAN4#11</w:t>
      </w:r>
      <w:r w:rsidR="00775EC7">
        <w:rPr>
          <w:szCs w:val="20"/>
          <w:lang w:val="en-GB"/>
        </w:rPr>
        <w:t>1</w:t>
      </w:r>
      <w:r w:rsidR="001218B6" w:rsidRPr="001218B6">
        <w:rPr>
          <w:szCs w:val="20"/>
          <w:lang w:val="en-GB"/>
        </w:rPr>
        <w:t>, Samsung.</w:t>
      </w:r>
    </w:p>
    <w:bookmarkEnd w:id="18"/>
    <w:p w14:paraId="78FEA8EA" w14:textId="41739112" w:rsidR="00A37CEF" w:rsidRDefault="00A37CEF" w:rsidP="0003651D">
      <w:pPr>
        <w:pStyle w:val="References"/>
        <w:numPr>
          <w:ilvl w:val="0"/>
          <w:numId w:val="2"/>
        </w:numPr>
        <w:autoSpaceDE/>
        <w:autoSpaceDN/>
        <w:snapToGrid/>
        <w:spacing w:after="80" w:line="256" w:lineRule="auto"/>
      </w:pPr>
      <w:r w:rsidRPr="00A37CEF">
        <w:rPr>
          <w:szCs w:val="20"/>
          <w:lang w:val="en-GB"/>
        </w:rPr>
        <w:t xml:space="preserve">TR 38.858, “Study on evolution of NR duplex operation”, 3GPP. </w:t>
      </w:r>
    </w:p>
    <w:p w14:paraId="7547DE2D" w14:textId="77777777" w:rsidR="00A37CEF" w:rsidRDefault="00A37CEF" w:rsidP="0003651D">
      <w:pPr>
        <w:jc w:val="both"/>
      </w:pPr>
    </w:p>
    <w:sectPr w:rsidR="00A37CEF" w:rsidSect="00370B59">
      <w:headerReference w:type="even" r:id="rId7"/>
      <w:footerReference w:type="even" r:id="rId8"/>
      <w:footerReference w:type="default" r:id="rId9"/>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BDC9B90" w14:textId="77777777" w:rsidR="00370B59" w:rsidRDefault="00370B59">
      <w:pPr>
        <w:spacing w:after="0"/>
      </w:pPr>
      <w:r>
        <w:separator/>
      </w:r>
    </w:p>
  </w:endnote>
  <w:endnote w:type="continuationSeparator" w:id="0">
    <w:p w14:paraId="17CC647D" w14:textId="77777777" w:rsidR="00370B59" w:rsidRDefault="00370B5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default"/>
    <w:sig w:usb0="00000000"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198EDF" w14:textId="77777777" w:rsidR="00146ED2" w:rsidRDefault="00E0451E"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88AD202" w14:textId="77777777" w:rsidR="00146ED2" w:rsidRDefault="00146ED2"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9E84F1" w14:textId="77777777" w:rsidR="00146ED2" w:rsidRDefault="00E0451E"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A6B9D4D" w14:textId="77777777" w:rsidR="00370B59" w:rsidRDefault="00370B59">
      <w:pPr>
        <w:spacing w:after="0"/>
      </w:pPr>
      <w:r>
        <w:separator/>
      </w:r>
    </w:p>
  </w:footnote>
  <w:footnote w:type="continuationSeparator" w:id="0">
    <w:p w14:paraId="4CAA2E0B" w14:textId="77777777" w:rsidR="00370B59" w:rsidRDefault="00370B5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BE779E" w14:textId="77777777" w:rsidR="00146ED2" w:rsidRDefault="00E0451E">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301784A"/>
    <w:multiLevelType w:val="hybridMultilevel"/>
    <w:tmpl w:val="1FDA7812"/>
    <w:lvl w:ilvl="0" w:tplc="BEBA84A4">
      <w:start w:val="1"/>
      <w:numFmt w:val="bullet"/>
      <w:lvlText w:val=""/>
      <w:lvlJc w:val="left"/>
      <w:pPr>
        <w:tabs>
          <w:tab w:val="num" w:pos="720"/>
        </w:tabs>
        <w:ind w:left="720" w:hanging="360"/>
      </w:pPr>
      <w:rPr>
        <w:rFonts w:ascii="Wingdings" w:hAnsi="Wingdings" w:hint="default"/>
      </w:rPr>
    </w:lvl>
    <w:lvl w:ilvl="1" w:tplc="2872F8F2">
      <w:numFmt w:val="bullet"/>
      <w:lvlText w:val=""/>
      <w:lvlJc w:val="left"/>
      <w:pPr>
        <w:tabs>
          <w:tab w:val="num" w:pos="1440"/>
        </w:tabs>
        <w:ind w:left="1440" w:hanging="360"/>
      </w:pPr>
      <w:rPr>
        <w:rFonts w:ascii="Wingdings" w:hAnsi="Wingdings" w:hint="default"/>
      </w:rPr>
    </w:lvl>
    <w:lvl w:ilvl="2" w:tplc="13F4F654">
      <w:start w:val="1"/>
      <w:numFmt w:val="bullet"/>
      <w:lvlText w:val=""/>
      <w:lvlJc w:val="left"/>
      <w:pPr>
        <w:tabs>
          <w:tab w:val="num" w:pos="2160"/>
        </w:tabs>
        <w:ind w:left="2160" w:hanging="360"/>
      </w:pPr>
      <w:rPr>
        <w:rFonts w:ascii="Wingdings" w:hAnsi="Wingdings" w:hint="default"/>
      </w:rPr>
    </w:lvl>
    <w:lvl w:ilvl="3" w:tplc="924AA828">
      <w:start w:val="1"/>
      <w:numFmt w:val="bullet"/>
      <w:lvlText w:val=""/>
      <w:lvlJc w:val="left"/>
      <w:pPr>
        <w:tabs>
          <w:tab w:val="num" w:pos="2880"/>
        </w:tabs>
        <w:ind w:left="2880" w:hanging="360"/>
      </w:pPr>
      <w:rPr>
        <w:rFonts w:ascii="Wingdings" w:hAnsi="Wingdings" w:hint="default"/>
      </w:rPr>
    </w:lvl>
    <w:lvl w:ilvl="4" w:tplc="AC363DAC" w:tentative="1">
      <w:start w:val="1"/>
      <w:numFmt w:val="bullet"/>
      <w:lvlText w:val=""/>
      <w:lvlJc w:val="left"/>
      <w:pPr>
        <w:tabs>
          <w:tab w:val="num" w:pos="3600"/>
        </w:tabs>
        <w:ind w:left="3600" w:hanging="360"/>
      </w:pPr>
      <w:rPr>
        <w:rFonts w:ascii="Wingdings" w:hAnsi="Wingdings" w:hint="default"/>
      </w:rPr>
    </w:lvl>
    <w:lvl w:ilvl="5" w:tplc="4934C65C" w:tentative="1">
      <w:start w:val="1"/>
      <w:numFmt w:val="bullet"/>
      <w:lvlText w:val=""/>
      <w:lvlJc w:val="left"/>
      <w:pPr>
        <w:tabs>
          <w:tab w:val="num" w:pos="4320"/>
        </w:tabs>
        <w:ind w:left="4320" w:hanging="360"/>
      </w:pPr>
      <w:rPr>
        <w:rFonts w:ascii="Wingdings" w:hAnsi="Wingdings" w:hint="default"/>
      </w:rPr>
    </w:lvl>
    <w:lvl w:ilvl="6" w:tplc="4BAA3D14" w:tentative="1">
      <w:start w:val="1"/>
      <w:numFmt w:val="bullet"/>
      <w:lvlText w:val=""/>
      <w:lvlJc w:val="left"/>
      <w:pPr>
        <w:tabs>
          <w:tab w:val="num" w:pos="5040"/>
        </w:tabs>
        <w:ind w:left="5040" w:hanging="360"/>
      </w:pPr>
      <w:rPr>
        <w:rFonts w:ascii="Wingdings" w:hAnsi="Wingdings" w:hint="default"/>
      </w:rPr>
    </w:lvl>
    <w:lvl w:ilvl="7" w:tplc="BD145696" w:tentative="1">
      <w:start w:val="1"/>
      <w:numFmt w:val="bullet"/>
      <w:lvlText w:val=""/>
      <w:lvlJc w:val="left"/>
      <w:pPr>
        <w:tabs>
          <w:tab w:val="num" w:pos="5760"/>
        </w:tabs>
        <w:ind w:left="5760" w:hanging="360"/>
      </w:pPr>
      <w:rPr>
        <w:rFonts w:ascii="Wingdings" w:hAnsi="Wingdings" w:hint="default"/>
      </w:rPr>
    </w:lvl>
    <w:lvl w:ilvl="8" w:tplc="3E8CEC86"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B1E230B"/>
    <w:multiLevelType w:val="hybridMultilevel"/>
    <w:tmpl w:val="43929580"/>
    <w:lvl w:ilvl="0" w:tplc="C63A2926">
      <w:start w:val="1"/>
      <w:numFmt w:val="bullet"/>
      <w:lvlText w:val=""/>
      <w:lvlJc w:val="left"/>
      <w:pPr>
        <w:tabs>
          <w:tab w:val="num" w:pos="720"/>
        </w:tabs>
        <w:ind w:left="720" w:hanging="360"/>
      </w:pPr>
      <w:rPr>
        <w:rFonts w:ascii="Wingdings" w:hAnsi="Wingdings" w:hint="default"/>
      </w:rPr>
    </w:lvl>
    <w:lvl w:ilvl="1" w:tplc="ECC60B24" w:tentative="1">
      <w:start w:val="1"/>
      <w:numFmt w:val="bullet"/>
      <w:lvlText w:val=""/>
      <w:lvlJc w:val="left"/>
      <w:pPr>
        <w:tabs>
          <w:tab w:val="num" w:pos="1440"/>
        </w:tabs>
        <w:ind w:left="1440" w:hanging="360"/>
      </w:pPr>
      <w:rPr>
        <w:rFonts w:ascii="Wingdings" w:hAnsi="Wingdings" w:hint="default"/>
      </w:rPr>
    </w:lvl>
    <w:lvl w:ilvl="2" w:tplc="CFC2D45A" w:tentative="1">
      <w:start w:val="1"/>
      <w:numFmt w:val="bullet"/>
      <w:lvlText w:val=""/>
      <w:lvlJc w:val="left"/>
      <w:pPr>
        <w:tabs>
          <w:tab w:val="num" w:pos="2160"/>
        </w:tabs>
        <w:ind w:left="2160" w:hanging="360"/>
      </w:pPr>
      <w:rPr>
        <w:rFonts w:ascii="Wingdings" w:hAnsi="Wingdings" w:hint="default"/>
      </w:rPr>
    </w:lvl>
    <w:lvl w:ilvl="3" w:tplc="15EC3D84" w:tentative="1">
      <w:start w:val="1"/>
      <w:numFmt w:val="bullet"/>
      <w:lvlText w:val=""/>
      <w:lvlJc w:val="left"/>
      <w:pPr>
        <w:tabs>
          <w:tab w:val="num" w:pos="2880"/>
        </w:tabs>
        <w:ind w:left="2880" w:hanging="360"/>
      </w:pPr>
      <w:rPr>
        <w:rFonts w:ascii="Wingdings" w:hAnsi="Wingdings" w:hint="default"/>
      </w:rPr>
    </w:lvl>
    <w:lvl w:ilvl="4" w:tplc="6FD262D4" w:tentative="1">
      <w:start w:val="1"/>
      <w:numFmt w:val="bullet"/>
      <w:lvlText w:val=""/>
      <w:lvlJc w:val="left"/>
      <w:pPr>
        <w:tabs>
          <w:tab w:val="num" w:pos="3600"/>
        </w:tabs>
        <w:ind w:left="3600" w:hanging="360"/>
      </w:pPr>
      <w:rPr>
        <w:rFonts w:ascii="Wingdings" w:hAnsi="Wingdings" w:hint="default"/>
      </w:rPr>
    </w:lvl>
    <w:lvl w:ilvl="5" w:tplc="BB842764" w:tentative="1">
      <w:start w:val="1"/>
      <w:numFmt w:val="bullet"/>
      <w:lvlText w:val=""/>
      <w:lvlJc w:val="left"/>
      <w:pPr>
        <w:tabs>
          <w:tab w:val="num" w:pos="4320"/>
        </w:tabs>
        <w:ind w:left="4320" w:hanging="360"/>
      </w:pPr>
      <w:rPr>
        <w:rFonts w:ascii="Wingdings" w:hAnsi="Wingdings" w:hint="default"/>
      </w:rPr>
    </w:lvl>
    <w:lvl w:ilvl="6" w:tplc="998AA974" w:tentative="1">
      <w:start w:val="1"/>
      <w:numFmt w:val="bullet"/>
      <w:lvlText w:val=""/>
      <w:lvlJc w:val="left"/>
      <w:pPr>
        <w:tabs>
          <w:tab w:val="num" w:pos="5040"/>
        </w:tabs>
        <w:ind w:left="5040" w:hanging="360"/>
      </w:pPr>
      <w:rPr>
        <w:rFonts w:ascii="Wingdings" w:hAnsi="Wingdings" w:hint="default"/>
      </w:rPr>
    </w:lvl>
    <w:lvl w:ilvl="7" w:tplc="5AD8831A" w:tentative="1">
      <w:start w:val="1"/>
      <w:numFmt w:val="bullet"/>
      <w:lvlText w:val=""/>
      <w:lvlJc w:val="left"/>
      <w:pPr>
        <w:tabs>
          <w:tab w:val="num" w:pos="5760"/>
        </w:tabs>
        <w:ind w:left="5760" w:hanging="360"/>
      </w:pPr>
      <w:rPr>
        <w:rFonts w:ascii="Wingdings" w:hAnsi="Wingdings" w:hint="default"/>
      </w:rPr>
    </w:lvl>
    <w:lvl w:ilvl="8" w:tplc="1A36CAC6"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B1E2747"/>
    <w:multiLevelType w:val="hybridMultilevel"/>
    <w:tmpl w:val="FCB69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B92D56"/>
    <w:multiLevelType w:val="hybridMultilevel"/>
    <w:tmpl w:val="A6CECC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2D0418B"/>
    <w:multiLevelType w:val="hybridMultilevel"/>
    <w:tmpl w:val="7B4EF652"/>
    <w:lvl w:ilvl="0" w:tplc="566E1CD0">
      <w:start w:val="1"/>
      <w:numFmt w:val="bullet"/>
      <w:lvlText w:val=""/>
      <w:lvlJc w:val="left"/>
      <w:pPr>
        <w:tabs>
          <w:tab w:val="num" w:pos="720"/>
        </w:tabs>
        <w:ind w:left="720" w:hanging="360"/>
      </w:pPr>
      <w:rPr>
        <w:rFonts w:ascii="Wingdings" w:hAnsi="Wingdings" w:hint="default"/>
      </w:rPr>
    </w:lvl>
    <w:lvl w:ilvl="1" w:tplc="BBA431B0" w:tentative="1">
      <w:start w:val="1"/>
      <w:numFmt w:val="bullet"/>
      <w:lvlText w:val=""/>
      <w:lvlJc w:val="left"/>
      <w:pPr>
        <w:tabs>
          <w:tab w:val="num" w:pos="1440"/>
        </w:tabs>
        <w:ind w:left="1440" w:hanging="360"/>
      </w:pPr>
      <w:rPr>
        <w:rFonts w:ascii="Wingdings" w:hAnsi="Wingdings" w:hint="default"/>
      </w:rPr>
    </w:lvl>
    <w:lvl w:ilvl="2" w:tplc="8BF245D2" w:tentative="1">
      <w:start w:val="1"/>
      <w:numFmt w:val="bullet"/>
      <w:lvlText w:val=""/>
      <w:lvlJc w:val="left"/>
      <w:pPr>
        <w:tabs>
          <w:tab w:val="num" w:pos="2160"/>
        </w:tabs>
        <w:ind w:left="2160" w:hanging="360"/>
      </w:pPr>
      <w:rPr>
        <w:rFonts w:ascii="Wingdings" w:hAnsi="Wingdings" w:hint="default"/>
      </w:rPr>
    </w:lvl>
    <w:lvl w:ilvl="3" w:tplc="E1CCFE54" w:tentative="1">
      <w:start w:val="1"/>
      <w:numFmt w:val="bullet"/>
      <w:lvlText w:val=""/>
      <w:lvlJc w:val="left"/>
      <w:pPr>
        <w:tabs>
          <w:tab w:val="num" w:pos="2880"/>
        </w:tabs>
        <w:ind w:left="2880" w:hanging="360"/>
      </w:pPr>
      <w:rPr>
        <w:rFonts w:ascii="Wingdings" w:hAnsi="Wingdings" w:hint="default"/>
      </w:rPr>
    </w:lvl>
    <w:lvl w:ilvl="4" w:tplc="70F61A92" w:tentative="1">
      <w:start w:val="1"/>
      <w:numFmt w:val="bullet"/>
      <w:lvlText w:val=""/>
      <w:lvlJc w:val="left"/>
      <w:pPr>
        <w:tabs>
          <w:tab w:val="num" w:pos="3600"/>
        </w:tabs>
        <w:ind w:left="3600" w:hanging="360"/>
      </w:pPr>
      <w:rPr>
        <w:rFonts w:ascii="Wingdings" w:hAnsi="Wingdings" w:hint="default"/>
      </w:rPr>
    </w:lvl>
    <w:lvl w:ilvl="5" w:tplc="C54EBB86" w:tentative="1">
      <w:start w:val="1"/>
      <w:numFmt w:val="bullet"/>
      <w:lvlText w:val=""/>
      <w:lvlJc w:val="left"/>
      <w:pPr>
        <w:tabs>
          <w:tab w:val="num" w:pos="4320"/>
        </w:tabs>
        <w:ind w:left="4320" w:hanging="360"/>
      </w:pPr>
      <w:rPr>
        <w:rFonts w:ascii="Wingdings" w:hAnsi="Wingdings" w:hint="default"/>
      </w:rPr>
    </w:lvl>
    <w:lvl w:ilvl="6" w:tplc="B1EE95F4" w:tentative="1">
      <w:start w:val="1"/>
      <w:numFmt w:val="bullet"/>
      <w:lvlText w:val=""/>
      <w:lvlJc w:val="left"/>
      <w:pPr>
        <w:tabs>
          <w:tab w:val="num" w:pos="5040"/>
        </w:tabs>
        <w:ind w:left="5040" w:hanging="360"/>
      </w:pPr>
      <w:rPr>
        <w:rFonts w:ascii="Wingdings" w:hAnsi="Wingdings" w:hint="default"/>
      </w:rPr>
    </w:lvl>
    <w:lvl w:ilvl="7" w:tplc="4C0CE034" w:tentative="1">
      <w:start w:val="1"/>
      <w:numFmt w:val="bullet"/>
      <w:lvlText w:val=""/>
      <w:lvlJc w:val="left"/>
      <w:pPr>
        <w:tabs>
          <w:tab w:val="num" w:pos="5760"/>
        </w:tabs>
        <w:ind w:left="5760" w:hanging="360"/>
      </w:pPr>
      <w:rPr>
        <w:rFonts w:ascii="Wingdings" w:hAnsi="Wingdings" w:hint="default"/>
      </w:rPr>
    </w:lvl>
    <w:lvl w:ilvl="8" w:tplc="AA4212DC"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4977C94"/>
    <w:multiLevelType w:val="hybridMultilevel"/>
    <w:tmpl w:val="321493FE"/>
    <w:lvl w:ilvl="0" w:tplc="E0DAACB8">
      <w:start w:val="1"/>
      <w:numFmt w:val="bullet"/>
      <w:lvlText w:val=""/>
      <w:lvlJc w:val="left"/>
      <w:pPr>
        <w:tabs>
          <w:tab w:val="num" w:pos="720"/>
        </w:tabs>
        <w:ind w:left="720" w:hanging="360"/>
      </w:pPr>
      <w:rPr>
        <w:rFonts w:ascii="Wingdings" w:hAnsi="Wingdings" w:hint="default"/>
      </w:rPr>
    </w:lvl>
    <w:lvl w:ilvl="1" w:tplc="B71A1206" w:tentative="1">
      <w:start w:val="1"/>
      <w:numFmt w:val="bullet"/>
      <w:lvlText w:val=""/>
      <w:lvlJc w:val="left"/>
      <w:pPr>
        <w:tabs>
          <w:tab w:val="num" w:pos="1440"/>
        </w:tabs>
        <w:ind w:left="1440" w:hanging="360"/>
      </w:pPr>
      <w:rPr>
        <w:rFonts w:ascii="Wingdings" w:hAnsi="Wingdings" w:hint="default"/>
      </w:rPr>
    </w:lvl>
    <w:lvl w:ilvl="2" w:tplc="AD4E1D52" w:tentative="1">
      <w:start w:val="1"/>
      <w:numFmt w:val="bullet"/>
      <w:lvlText w:val=""/>
      <w:lvlJc w:val="left"/>
      <w:pPr>
        <w:tabs>
          <w:tab w:val="num" w:pos="2160"/>
        </w:tabs>
        <w:ind w:left="2160" w:hanging="360"/>
      </w:pPr>
      <w:rPr>
        <w:rFonts w:ascii="Wingdings" w:hAnsi="Wingdings" w:hint="default"/>
      </w:rPr>
    </w:lvl>
    <w:lvl w:ilvl="3" w:tplc="5BD223EC" w:tentative="1">
      <w:start w:val="1"/>
      <w:numFmt w:val="bullet"/>
      <w:lvlText w:val=""/>
      <w:lvlJc w:val="left"/>
      <w:pPr>
        <w:tabs>
          <w:tab w:val="num" w:pos="2880"/>
        </w:tabs>
        <w:ind w:left="2880" w:hanging="360"/>
      </w:pPr>
      <w:rPr>
        <w:rFonts w:ascii="Wingdings" w:hAnsi="Wingdings" w:hint="default"/>
      </w:rPr>
    </w:lvl>
    <w:lvl w:ilvl="4" w:tplc="8D46286C" w:tentative="1">
      <w:start w:val="1"/>
      <w:numFmt w:val="bullet"/>
      <w:lvlText w:val=""/>
      <w:lvlJc w:val="left"/>
      <w:pPr>
        <w:tabs>
          <w:tab w:val="num" w:pos="3600"/>
        </w:tabs>
        <w:ind w:left="3600" w:hanging="360"/>
      </w:pPr>
      <w:rPr>
        <w:rFonts w:ascii="Wingdings" w:hAnsi="Wingdings" w:hint="default"/>
      </w:rPr>
    </w:lvl>
    <w:lvl w:ilvl="5" w:tplc="45AAE8CE" w:tentative="1">
      <w:start w:val="1"/>
      <w:numFmt w:val="bullet"/>
      <w:lvlText w:val=""/>
      <w:lvlJc w:val="left"/>
      <w:pPr>
        <w:tabs>
          <w:tab w:val="num" w:pos="4320"/>
        </w:tabs>
        <w:ind w:left="4320" w:hanging="360"/>
      </w:pPr>
      <w:rPr>
        <w:rFonts w:ascii="Wingdings" w:hAnsi="Wingdings" w:hint="default"/>
      </w:rPr>
    </w:lvl>
    <w:lvl w:ilvl="6" w:tplc="B22E02AA" w:tentative="1">
      <w:start w:val="1"/>
      <w:numFmt w:val="bullet"/>
      <w:lvlText w:val=""/>
      <w:lvlJc w:val="left"/>
      <w:pPr>
        <w:tabs>
          <w:tab w:val="num" w:pos="5040"/>
        </w:tabs>
        <w:ind w:left="5040" w:hanging="360"/>
      </w:pPr>
      <w:rPr>
        <w:rFonts w:ascii="Wingdings" w:hAnsi="Wingdings" w:hint="default"/>
      </w:rPr>
    </w:lvl>
    <w:lvl w:ilvl="7" w:tplc="745A43E0" w:tentative="1">
      <w:start w:val="1"/>
      <w:numFmt w:val="bullet"/>
      <w:lvlText w:val=""/>
      <w:lvlJc w:val="left"/>
      <w:pPr>
        <w:tabs>
          <w:tab w:val="num" w:pos="5760"/>
        </w:tabs>
        <w:ind w:left="5760" w:hanging="360"/>
      </w:pPr>
      <w:rPr>
        <w:rFonts w:ascii="Wingdings" w:hAnsi="Wingdings" w:hint="default"/>
      </w:rPr>
    </w:lvl>
    <w:lvl w:ilvl="8" w:tplc="468CE4BC"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4C55668"/>
    <w:multiLevelType w:val="hybridMultilevel"/>
    <w:tmpl w:val="3B020732"/>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636914"/>
    <w:multiLevelType w:val="hybridMultilevel"/>
    <w:tmpl w:val="F8F2FDF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E4252F6"/>
    <w:multiLevelType w:val="multilevel"/>
    <w:tmpl w:val="FD3EE4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2E11247"/>
    <w:multiLevelType w:val="hybridMultilevel"/>
    <w:tmpl w:val="E1D06C7C"/>
    <w:lvl w:ilvl="0" w:tplc="04090001">
      <w:start w:val="1"/>
      <w:numFmt w:val="bullet"/>
      <w:lvlText w:val=""/>
      <w:lvlJc w:val="left"/>
      <w:pPr>
        <w:ind w:left="936" w:hanging="360"/>
      </w:pPr>
      <w:rPr>
        <w:rFonts w:ascii="Symbol" w:hAnsi="Symbol" w:hint="default"/>
      </w:rPr>
    </w:lvl>
    <w:lvl w:ilvl="1" w:tplc="04090003">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14" w15:restartNumberingAfterBreak="0">
    <w:nsid w:val="37E350F7"/>
    <w:multiLevelType w:val="hybridMultilevel"/>
    <w:tmpl w:val="8EBEAD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9F82B34"/>
    <w:multiLevelType w:val="hybridMultilevel"/>
    <w:tmpl w:val="2FF08B96"/>
    <w:lvl w:ilvl="0" w:tplc="8D3E0F08">
      <w:start w:val="1"/>
      <w:numFmt w:val="bullet"/>
      <w:lvlText w:val=""/>
      <w:lvlJc w:val="left"/>
      <w:pPr>
        <w:tabs>
          <w:tab w:val="num" w:pos="720"/>
        </w:tabs>
        <w:ind w:left="720" w:hanging="360"/>
      </w:pPr>
      <w:rPr>
        <w:rFonts w:ascii="Wingdings" w:hAnsi="Wingdings" w:hint="default"/>
      </w:rPr>
    </w:lvl>
    <w:lvl w:ilvl="1" w:tplc="0706D292" w:tentative="1">
      <w:start w:val="1"/>
      <w:numFmt w:val="bullet"/>
      <w:lvlText w:val=""/>
      <w:lvlJc w:val="left"/>
      <w:pPr>
        <w:tabs>
          <w:tab w:val="num" w:pos="1440"/>
        </w:tabs>
        <w:ind w:left="1440" w:hanging="360"/>
      </w:pPr>
      <w:rPr>
        <w:rFonts w:ascii="Wingdings" w:hAnsi="Wingdings" w:hint="default"/>
      </w:rPr>
    </w:lvl>
    <w:lvl w:ilvl="2" w:tplc="CF20B332" w:tentative="1">
      <w:start w:val="1"/>
      <w:numFmt w:val="bullet"/>
      <w:lvlText w:val=""/>
      <w:lvlJc w:val="left"/>
      <w:pPr>
        <w:tabs>
          <w:tab w:val="num" w:pos="2160"/>
        </w:tabs>
        <w:ind w:left="2160" w:hanging="360"/>
      </w:pPr>
      <w:rPr>
        <w:rFonts w:ascii="Wingdings" w:hAnsi="Wingdings" w:hint="default"/>
      </w:rPr>
    </w:lvl>
    <w:lvl w:ilvl="3" w:tplc="0E2E4A8C" w:tentative="1">
      <w:start w:val="1"/>
      <w:numFmt w:val="bullet"/>
      <w:lvlText w:val=""/>
      <w:lvlJc w:val="left"/>
      <w:pPr>
        <w:tabs>
          <w:tab w:val="num" w:pos="2880"/>
        </w:tabs>
        <w:ind w:left="2880" w:hanging="360"/>
      </w:pPr>
      <w:rPr>
        <w:rFonts w:ascii="Wingdings" w:hAnsi="Wingdings" w:hint="default"/>
      </w:rPr>
    </w:lvl>
    <w:lvl w:ilvl="4" w:tplc="4668757C" w:tentative="1">
      <w:start w:val="1"/>
      <w:numFmt w:val="bullet"/>
      <w:lvlText w:val=""/>
      <w:lvlJc w:val="left"/>
      <w:pPr>
        <w:tabs>
          <w:tab w:val="num" w:pos="3600"/>
        </w:tabs>
        <w:ind w:left="3600" w:hanging="360"/>
      </w:pPr>
      <w:rPr>
        <w:rFonts w:ascii="Wingdings" w:hAnsi="Wingdings" w:hint="default"/>
      </w:rPr>
    </w:lvl>
    <w:lvl w:ilvl="5" w:tplc="96663C64" w:tentative="1">
      <w:start w:val="1"/>
      <w:numFmt w:val="bullet"/>
      <w:lvlText w:val=""/>
      <w:lvlJc w:val="left"/>
      <w:pPr>
        <w:tabs>
          <w:tab w:val="num" w:pos="4320"/>
        </w:tabs>
        <w:ind w:left="4320" w:hanging="360"/>
      </w:pPr>
      <w:rPr>
        <w:rFonts w:ascii="Wingdings" w:hAnsi="Wingdings" w:hint="default"/>
      </w:rPr>
    </w:lvl>
    <w:lvl w:ilvl="6" w:tplc="2166BEE6" w:tentative="1">
      <w:start w:val="1"/>
      <w:numFmt w:val="bullet"/>
      <w:lvlText w:val=""/>
      <w:lvlJc w:val="left"/>
      <w:pPr>
        <w:tabs>
          <w:tab w:val="num" w:pos="5040"/>
        </w:tabs>
        <w:ind w:left="5040" w:hanging="360"/>
      </w:pPr>
      <w:rPr>
        <w:rFonts w:ascii="Wingdings" w:hAnsi="Wingdings" w:hint="default"/>
      </w:rPr>
    </w:lvl>
    <w:lvl w:ilvl="7" w:tplc="21762BFA" w:tentative="1">
      <w:start w:val="1"/>
      <w:numFmt w:val="bullet"/>
      <w:lvlText w:val=""/>
      <w:lvlJc w:val="left"/>
      <w:pPr>
        <w:tabs>
          <w:tab w:val="num" w:pos="5760"/>
        </w:tabs>
        <w:ind w:left="5760" w:hanging="360"/>
      </w:pPr>
      <w:rPr>
        <w:rFonts w:ascii="Wingdings" w:hAnsi="Wingdings" w:hint="default"/>
      </w:rPr>
    </w:lvl>
    <w:lvl w:ilvl="8" w:tplc="824C1002"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B2372AB"/>
    <w:multiLevelType w:val="hybridMultilevel"/>
    <w:tmpl w:val="C00C29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EFB6BED"/>
    <w:multiLevelType w:val="hybridMultilevel"/>
    <w:tmpl w:val="581CC46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FB82F7D"/>
    <w:multiLevelType w:val="hybridMultilevel"/>
    <w:tmpl w:val="F43C2416"/>
    <w:lvl w:ilvl="0" w:tplc="BCD27D98">
      <w:start w:val="1"/>
      <w:numFmt w:val="bullet"/>
      <w:lvlText w:val=""/>
      <w:lvlJc w:val="left"/>
      <w:pPr>
        <w:tabs>
          <w:tab w:val="num" w:pos="720"/>
        </w:tabs>
        <w:ind w:left="720" w:hanging="360"/>
      </w:pPr>
      <w:rPr>
        <w:rFonts w:ascii="Wingdings" w:hAnsi="Wingdings" w:hint="default"/>
      </w:rPr>
    </w:lvl>
    <w:lvl w:ilvl="1" w:tplc="AB8E0192" w:tentative="1">
      <w:start w:val="1"/>
      <w:numFmt w:val="bullet"/>
      <w:lvlText w:val=""/>
      <w:lvlJc w:val="left"/>
      <w:pPr>
        <w:tabs>
          <w:tab w:val="num" w:pos="1440"/>
        </w:tabs>
        <w:ind w:left="1440" w:hanging="360"/>
      </w:pPr>
      <w:rPr>
        <w:rFonts w:ascii="Wingdings" w:hAnsi="Wingdings" w:hint="default"/>
      </w:rPr>
    </w:lvl>
    <w:lvl w:ilvl="2" w:tplc="8CEA5534" w:tentative="1">
      <w:start w:val="1"/>
      <w:numFmt w:val="bullet"/>
      <w:lvlText w:val=""/>
      <w:lvlJc w:val="left"/>
      <w:pPr>
        <w:tabs>
          <w:tab w:val="num" w:pos="2160"/>
        </w:tabs>
        <w:ind w:left="2160" w:hanging="360"/>
      </w:pPr>
      <w:rPr>
        <w:rFonts w:ascii="Wingdings" w:hAnsi="Wingdings" w:hint="default"/>
      </w:rPr>
    </w:lvl>
    <w:lvl w:ilvl="3" w:tplc="2392DF6E" w:tentative="1">
      <w:start w:val="1"/>
      <w:numFmt w:val="bullet"/>
      <w:lvlText w:val=""/>
      <w:lvlJc w:val="left"/>
      <w:pPr>
        <w:tabs>
          <w:tab w:val="num" w:pos="2880"/>
        </w:tabs>
        <w:ind w:left="2880" w:hanging="360"/>
      </w:pPr>
      <w:rPr>
        <w:rFonts w:ascii="Wingdings" w:hAnsi="Wingdings" w:hint="default"/>
      </w:rPr>
    </w:lvl>
    <w:lvl w:ilvl="4" w:tplc="1C2E8D0A" w:tentative="1">
      <w:start w:val="1"/>
      <w:numFmt w:val="bullet"/>
      <w:lvlText w:val=""/>
      <w:lvlJc w:val="left"/>
      <w:pPr>
        <w:tabs>
          <w:tab w:val="num" w:pos="3600"/>
        </w:tabs>
        <w:ind w:left="3600" w:hanging="360"/>
      </w:pPr>
      <w:rPr>
        <w:rFonts w:ascii="Wingdings" w:hAnsi="Wingdings" w:hint="default"/>
      </w:rPr>
    </w:lvl>
    <w:lvl w:ilvl="5" w:tplc="617C596E" w:tentative="1">
      <w:start w:val="1"/>
      <w:numFmt w:val="bullet"/>
      <w:lvlText w:val=""/>
      <w:lvlJc w:val="left"/>
      <w:pPr>
        <w:tabs>
          <w:tab w:val="num" w:pos="4320"/>
        </w:tabs>
        <w:ind w:left="4320" w:hanging="360"/>
      </w:pPr>
      <w:rPr>
        <w:rFonts w:ascii="Wingdings" w:hAnsi="Wingdings" w:hint="default"/>
      </w:rPr>
    </w:lvl>
    <w:lvl w:ilvl="6" w:tplc="530661E0" w:tentative="1">
      <w:start w:val="1"/>
      <w:numFmt w:val="bullet"/>
      <w:lvlText w:val=""/>
      <w:lvlJc w:val="left"/>
      <w:pPr>
        <w:tabs>
          <w:tab w:val="num" w:pos="5040"/>
        </w:tabs>
        <w:ind w:left="5040" w:hanging="360"/>
      </w:pPr>
      <w:rPr>
        <w:rFonts w:ascii="Wingdings" w:hAnsi="Wingdings" w:hint="default"/>
      </w:rPr>
    </w:lvl>
    <w:lvl w:ilvl="7" w:tplc="26C8171C" w:tentative="1">
      <w:start w:val="1"/>
      <w:numFmt w:val="bullet"/>
      <w:lvlText w:val=""/>
      <w:lvlJc w:val="left"/>
      <w:pPr>
        <w:tabs>
          <w:tab w:val="num" w:pos="5760"/>
        </w:tabs>
        <w:ind w:left="5760" w:hanging="360"/>
      </w:pPr>
      <w:rPr>
        <w:rFonts w:ascii="Wingdings" w:hAnsi="Wingdings" w:hint="default"/>
      </w:rPr>
    </w:lvl>
    <w:lvl w:ilvl="8" w:tplc="DA407750"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5016819"/>
    <w:multiLevelType w:val="hybridMultilevel"/>
    <w:tmpl w:val="ACF4A33C"/>
    <w:lvl w:ilvl="0" w:tplc="A2E4A158">
      <w:start w:val="1"/>
      <w:numFmt w:val="bullet"/>
      <w:lvlText w:val=""/>
      <w:lvlJc w:val="left"/>
      <w:pPr>
        <w:tabs>
          <w:tab w:val="num" w:pos="720"/>
        </w:tabs>
        <w:ind w:left="720" w:hanging="360"/>
      </w:pPr>
      <w:rPr>
        <w:rFonts w:ascii="Wingdings" w:hAnsi="Wingdings" w:hint="default"/>
      </w:rPr>
    </w:lvl>
    <w:lvl w:ilvl="1" w:tplc="544410B0">
      <w:numFmt w:val="bullet"/>
      <w:lvlText w:val=""/>
      <w:lvlJc w:val="left"/>
      <w:pPr>
        <w:tabs>
          <w:tab w:val="num" w:pos="1440"/>
        </w:tabs>
        <w:ind w:left="1440" w:hanging="360"/>
      </w:pPr>
      <w:rPr>
        <w:rFonts w:ascii="Wingdings" w:hAnsi="Wingdings" w:hint="default"/>
      </w:rPr>
    </w:lvl>
    <w:lvl w:ilvl="2" w:tplc="AE1CE290" w:tentative="1">
      <w:start w:val="1"/>
      <w:numFmt w:val="bullet"/>
      <w:lvlText w:val=""/>
      <w:lvlJc w:val="left"/>
      <w:pPr>
        <w:tabs>
          <w:tab w:val="num" w:pos="2160"/>
        </w:tabs>
        <w:ind w:left="2160" w:hanging="360"/>
      </w:pPr>
      <w:rPr>
        <w:rFonts w:ascii="Wingdings" w:hAnsi="Wingdings" w:hint="default"/>
      </w:rPr>
    </w:lvl>
    <w:lvl w:ilvl="3" w:tplc="6298D878" w:tentative="1">
      <w:start w:val="1"/>
      <w:numFmt w:val="bullet"/>
      <w:lvlText w:val=""/>
      <w:lvlJc w:val="left"/>
      <w:pPr>
        <w:tabs>
          <w:tab w:val="num" w:pos="2880"/>
        </w:tabs>
        <w:ind w:left="2880" w:hanging="360"/>
      </w:pPr>
      <w:rPr>
        <w:rFonts w:ascii="Wingdings" w:hAnsi="Wingdings" w:hint="default"/>
      </w:rPr>
    </w:lvl>
    <w:lvl w:ilvl="4" w:tplc="077A50A0" w:tentative="1">
      <w:start w:val="1"/>
      <w:numFmt w:val="bullet"/>
      <w:lvlText w:val=""/>
      <w:lvlJc w:val="left"/>
      <w:pPr>
        <w:tabs>
          <w:tab w:val="num" w:pos="3600"/>
        </w:tabs>
        <w:ind w:left="3600" w:hanging="360"/>
      </w:pPr>
      <w:rPr>
        <w:rFonts w:ascii="Wingdings" w:hAnsi="Wingdings" w:hint="default"/>
      </w:rPr>
    </w:lvl>
    <w:lvl w:ilvl="5" w:tplc="A31A85BC" w:tentative="1">
      <w:start w:val="1"/>
      <w:numFmt w:val="bullet"/>
      <w:lvlText w:val=""/>
      <w:lvlJc w:val="left"/>
      <w:pPr>
        <w:tabs>
          <w:tab w:val="num" w:pos="4320"/>
        </w:tabs>
        <w:ind w:left="4320" w:hanging="360"/>
      </w:pPr>
      <w:rPr>
        <w:rFonts w:ascii="Wingdings" w:hAnsi="Wingdings" w:hint="default"/>
      </w:rPr>
    </w:lvl>
    <w:lvl w:ilvl="6" w:tplc="F7A4D98C" w:tentative="1">
      <w:start w:val="1"/>
      <w:numFmt w:val="bullet"/>
      <w:lvlText w:val=""/>
      <w:lvlJc w:val="left"/>
      <w:pPr>
        <w:tabs>
          <w:tab w:val="num" w:pos="5040"/>
        </w:tabs>
        <w:ind w:left="5040" w:hanging="360"/>
      </w:pPr>
      <w:rPr>
        <w:rFonts w:ascii="Wingdings" w:hAnsi="Wingdings" w:hint="default"/>
      </w:rPr>
    </w:lvl>
    <w:lvl w:ilvl="7" w:tplc="79C4D89E" w:tentative="1">
      <w:start w:val="1"/>
      <w:numFmt w:val="bullet"/>
      <w:lvlText w:val=""/>
      <w:lvlJc w:val="left"/>
      <w:pPr>
        <w:tabs>
          <w:tab w:val="num" w:pos="5760"/>
        </w:tabs>
        <w:ind w:left="5760" w:hanging="360"/>
      </w:pPr>
      <w:rPr>
        <w:rFonts w:ascii="Wingdings" w:hAnsi="Wingdings" w:hint="default"/>
      </w:rPr>
    </w:lvl>
    <w:lvl w:ilvl="8" w:tplc="C8A620A2"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4EFF4D03"/>
    <w:multiLevelType w:val="hybridMultilevel"/>
    <w:tmpl w:val="8CB2F7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5D2CC8"/>
    <w:multiLevelType w:val="hybridMultilevel"/>
    <w:tmpl w:val="4274D04E"/>
    <w:lvl w:ilvl="0" w:tplc="E01E9F5E">
      <w:start w:val="1"/>
      <w:numFmt w:val="bullet"/>
      <w:lvlText w:val=""/>
      <w:lvlJc w:val="left"/>
      <w:pPr>
        <w:tabs>
          <w:tab w:val="num" w:pos="720"/>
        </w:tabs>
        <w:ind w:left="720" w:hanging="360"/>
      </w:pPr>
      <w:rPr>
        <w:rFonts w:ascii="Wingdings" w:hAnsi="Wingdings" w:hint="default"/>
      </w:rPr>
    </w:lvl>
    <w:lvl w:ilvl="1" w:tplc="59044912" w:tentative="1">
      <w:start w:val="1"/>
      <w:numFmt w:val="bullet"/>
      <w:lvlText w:val=""/>
      <w:lvlJc w:val="left"/>
      <w:pPr>
        <w:tabs>
          <w:tab w:val="num" w:pos="1440"/>
        </w:tabs>
        <w:ind w:left="1440" w:hanging="360"/>
      </w:pPr>
      <w:rPr>
        <w:rFonts w:ascii="Wingdings" w:hAnsi="Wingdings" w:hint="default"/>
      </w:rPr>
    </w:lvl>
    <w:lvl w:ilvl="2" w:tplc="8FAC2300" w:tentative="1">
      <w:start w:val="1"/>
      <w:numFmt w:val="bullet"/>
      <w:lvlText w:val=""/>
      <w:lvlJc w:val="left"/>
      <w:pPr>
        <w:tabs>
          <w:tab w:val="num" w:pos="2160"/>
        </w:tabs>
        <w:ind w:left="2160" w:hanging="360"/>
      </w:pPr>
      <w:rPr>
        <w:rFonts w:ascii="Wingdings" w:hAnsi="Wingdings" w:hint="default"/>
      </w:rPr>
    </w:lvl>
    <w:lvl w:ilvl="3" w:tplc="01DEEA94" w:tentative="1">
      <w:start w:val="1"/>
      <w:numFmt w:val="bullet"/>
      <w:lvlText w:val=""/>
      <w:lvlJc w:val="left"/>
      <w:pPr>
        <w:tabs>
          <w:tab w:val="num" w:pos="2880"/>
        </w:tabs>
        <w:ind w:left="2880" w:hanging="360"/>
      </w:pPr>
      <w:rPr>
        <w:rFonts w:ascii="Wingdings" w:hAnsi="Wingdings" w:hint="default"/>
      </w:rPr>
    </w:lvl>
    <w:lvl w:ilvl="4" w:tplc="D8745DD6" w:tentative="1">
      <w:start w:val="1"/>
      <w:numFmt w:val="bullet"/>
      <w:lvlText w:val=""/>
      <w:lvlJc w:val="left"/>
      <w:pPr>
        <w:tabs>
          <w:tab w:val="num" w:pos="3600"/>
        </w:tabs>
        <w:ind w:left="3600" w:hanging="360"/>
      </w:pPr>
      <w:rPr>
        <w:rFonts w:ascii="Wingdings" w:hAnsi="Wingdings" w:hint="default"/>
      </w:rPr>
    </w:lvl>
    <w:lvl w:ilvl="5" w:tplc="3662DE76" w:tentative="1">
      <w:start w:val="1"/>
      <w:numFmt w:val="bullet"/>
      <w:lvlText w:val=""/>
      <w:lvlJc w:val="left"/>
      <w:pPr>
        <w:tabs>
          <w:tab w:val="num" w:pos="4320"/>
        </w:tabs>
        <w:ind w:left="4320" w:hanging="360"/>
      </w:pPr>
      <w:rPr>
        <w:rFonts w:ascii="Wingdings" w:hAnsi="Wingdings" w:hint="default"/>
      </w:rPr>
    </w:lvl>
    <w:lvl w:ilvl="6" w:tplc="0A98EA70" w:tentative="1">
      <w:start w:val="1"/>
      <w:numFmt w:val="bullet"/>
      <w:lvlText w:val=""/>
      <w:lvlJc w:val="left"/>
      <w:pPr>
        <w:tabs>
          <w:tab w:val="num" w:pos="5040"/>
        </w:tabs>
        <w:ind w:left="5040" w:hanging="360"/>
      </w:pPr>
      <w:rPr>
        <w:rFonts w:ascii="Wingdings" w:hAnsi="Wingdings" w:hint="default"/>
      </w:rPr>
    </w:lvl>
    <w:lvl w:ilvl="7" w:tplc="659446C6" w:tentative="1">
      <w:start w:val="1"/>
      <w:numFmt w:val="bullet"/>
      <w:lvlText w:val=""/>
      <w:lvlJc w:val="left"/>
      <w:pPr>
        <w:tabs>
          <w:tab w:val="num" w:pos="5760"/>
        </w:tabs>
        <w:ind w:left="5760" w:hanging="360"/>
      </w:pPr>
      <w:rPr>
        <w:rFonts w:ascii="Wingdings" w:hAnsi="Wingdings" w:hint="default"/>
      </w:rPr>
    </w:lvl>
    <w:lvl w:ilvl="8" w:tplc="8D5ED7B6"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8B73482"/>
    <w:multiLevelType w:val="hybridMultilevel"/>
    <w:tmpl w:val="A184DEFE"/>
    <w:lvl w:ilvl="0" w:tplc="73E0C898">
      <w:start w:val="1"/>
      <w:numFmt w:val="bullet"/>
      <w:lvlText w:val=""/>
      <w:lvlJc w:val="left"/>
      <w:pPr>
        <w:ind w:left="360" w:hanging="360"/>
      </w:pPr>
      <w:rPr>
        <w:rFonts w:ascii="Symbol" w:hAnsi="Symbol" w:hint="default"/>
        <w:lang w:val="en-GB"/>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25" w15:restartNumberingAfterBreak="0">
    <w:nsid w:val="5CB43665"/>
    <w:multiLevelType w:val="hybridMultilevel"/>
    <w:tmpl w:val="73AE7AD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CC1154C"/>
    <w:multiLevelType w:val="multilevel"/>
    <w:tmpl w:val="5CC1154C"/>
    <w:lvl w:ilvl="0">
      <w:start w:val="4"/>
      <w:numFmt w:val="bullet"/>
      <w:lvlText w:val="-"/>
      <w:lvlJc w:val="left"/>
      <w:pPr>
        <w:ind w:left="1080" w:hanging="360"/>
      </w:pPr>
      <w:rPr>
        <w:rFonts w:ascii="Times New Roman" w:eastAsia="Malgun Gothic" w:hAnsi="Times New Roman" w:cs="Times New Roman" w:hint="default"/>
      </w:rPr>
    </w:lvl>
    <w:lvl w:ilvl="1">
      <w:start w:val="1"/>
      <w:numFmt w:val="bullet"/>
      <w:lvlText w:val=""/>
      <w:lvlJc w:val="left"/>
      <w:pPr>
        <w:ind w:left="1520" w:hanging="400"/>
      </w:pPr>
      <w:rPr>
        <w:rFonts w:ascii="Wingdings" w:hAnsi="Wingdings" w:hint="default"/>
      </w:rPr>
    </w:lvl>
    <w:lvl w:ilvl="2">
      <w:start w:val="1"/>
      <w:numFmt w:val="bullet"/>
      <w:lvlText w:val=""/>
      <w:lvlJc w:val="left"/>
      <w:pPr>
        <w:ind w:left="1920" w:hanging="400"/>
      </w:pPr>
      <w:rPr>
        <w:rFonts w:ascii="Wingdings" w:hAnsi="Wingdings" w:hint="default"/>
      </w:rPr>
    </w:lvl>
    <w:lvl w:ilvl="3">
      <w:start w:val="1"/>
      <w:numFmt w:val="bullet"/>
      <w:lvlText w:val=""/>
      <w:lvlJc w:val="left"/>
      <w:pPr>
        <w:ind w:left="2320" w:hanging="400"/>
      </w:pPr>
      <w:rPr>
        <w:rFonts w:ascii="Wingdings" w:hAnsi="Wingdings" w:hint="default"/>
      </w:rPr>
    </w:lvl>
    <w:lvl w:ilvl="4">
      <w:start w:val="1"/>
      <w:numFmt w:val="bullet"/>
      <w:lvlText w:val=""/>
      <w:lvlJc w:val="left"/>
      <w:pPr>
        <w:ind w:left="2720" w:hanging="400"/>
      </w:pPr>
      <w:rPr>
        <w:rFonts w:ascii="Wingdings" w:hAnsi="Wingdings" w:hint="default"/>
      </w:rPr>
    </w:lvl>
    <w:lvl w:ilvl="5">
      <w:start w:val="1"/>
      <w:numFmt w:val="bullet"/>
      <w:lvlText w:val=""/>
      <w:lvlJc w:val="left"/>
      <w:pPr>
        <w:ind w:left="3120" w:hanging="400"/>
      </w:pPr>
      <w:rPr>
        <w:rFonts w:ascii="Wingdings" w:hAnsi="Wingdings" w:hint="default"/>
      </w:rPr>
    </w:lvl>
    <w:lvl w:ilvl="6">
      <w:start w:val="1"/>
      <w:numFmt w:val="bullet"/>
      <w:lvlText w:val=""/>
      <w:lvlJc w:val="left"/>
      <w:pPr>
        <w:ind w:left="3520" w:hanging="400"/>
      </w:pPr>
      <w:rPr>
        <w:rFonts w:ascii="Wingdings" w:hAnsi="Wingdings" w:hint="default"/>
      </w:rPr>
    </w:lvl>
    <w:lvl w:ilvl="7">
      <w:start w:val="1"/>
      <w:numFmt w:val="bullet"/>
      <w:lvlText w:val=""/>
      <w:lvlJc w:val="left"/>
      <w:pPr>
        <w:ind w:left="3920" w:hanging="400"/>
      </w:pPr>
      <w:rPr>
        <w:rFonts w:ascii="Wingdings" w:hAnsi="Wingdings" w:hint="default"/>
      </w:rPr>
    </w:lvl>
    <w:lvl w:ilvl="8">
      <w:start w:val="1"/>
      <w:numFmt w:val="bullet"/>
      <w:lvlText w:val=""/>
      <w:lvlJc w:val="left"/>
      <w:pPr>
        <w:ind w:left="4320" w:hanging="400"/>
      </w:pPr>
      <w:rPr>
        <w:rFonts w:ascii="Wingdings" w:hAnsi="Wingdings" w:hint="default"/>
      </w:rPr>
    </w:lvl>
  </w:abstractNum>
  <w:abstractNum w:abstractNumId="27" w15:restartNumberingAfterBreak="0">
    <w:nsid w:val="6AE21C85"/>
    <w:multiLevelType w:val="hybridMultilevel"/>
    <w:tmpl w:val="1DC099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D7A2D57"/>
    <w:multiLevelType w:val="hybridMultilevel"/>
    <w:tmpl w:val="43BCD9B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F793D63"/>
    <w:multiLevelType w:val="hybridMultilevel"/>
    <w:tmpl w:val="4A505C56"/>
    <w:lvl w:ilvl="0" w:tplc="EA1818F2">
      <w:start w:val="93"/>
      <w:numFmt w:val="bullet"/>
      <w:lvlText w:val="-"/>
      <w:lvlJc w:val="left"/>
      <w:pPr>
        <w:ind w:left="360" w:hanging="360"/>
      </w:pPr>
      <w:rPr>
        <w:rFonts w:ascii="Times New Roman" w:eastAsia="Gulim"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718F4DAD"/>
    <w:multiLevelType w:val="hybridMultilevel"/>
    <w:tmpl w:val="3E60765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694988422">
    <w:abstractNumId w:val="10"/>
  </w:num>
  <w:num w:numId="2" w16cid:durableId="276178333">
    <w:abstractNumId w:val="0"/>
  </w:num>
  <w:num w:numId="3" w16cid:durableId="741606055">
    <w:abstractNumId w:val="2"/>
  </w:num>
  <w:num w:numId="4" w16cid:durableId="1935287387">
    <w:abstractNumId w:val="16"/>
  </w:num>
  <w:num w:numId="5" w16cid:durableId="1753619575">
    <w:abstractNumId w:val="21"/>
  </w:num>
  <w:num w:numId="6" w16cid:durableId="528227147">
    <w:abstractNumId w:val="6"/>
  </w:num>
  <w:num w:numId="7" w16cid:durableId="1151141409">
    <w:abstractNumId w:val="23"/>
  </w:num>
  <w:num w:numId="8" w16cid:durableId="1326208731">
    <w:abstractNumId w:val="20"/>
  </w:num>
  <w:num w:numId="9" w16cid:durableId="2096242991">
    <w:abstractNumId w:val="17"/>
  </w:num>
  <w:num w:numId="10" w16cid:durableId="964656557">
    <w:abstractNumId w:val="22"/>
  </w:num>
  <w:num w:numId="11" w16cid:durableId="724842134">
    <w:abstractNumId w:val="5"/>
  </w:num>
  <w:num w:numId="12" w16cid:durableId="1263489318">
    <w:abstractNumId w:val="30"/>
  </w:num>
  <w:num w:numId="13" w16cid:durableId="1656177574">
    <w:abstractNumId w:val="4"/>
  </w:num>
  <w:num w:numId="14" w16cid:durableId="1351568597">
    <w:abstractNumId w:val="1"/>
  </w:num>
  <w:num w:numId="15" w16cid:durableId="197086569">
    <w:abstractNumId w:val="7"/>
  </w:num>
  <w:num w:numId="16" w16cid:durableId="1700426356">
    <w:abstractNumId w:val="8"/>
  </w:num>
  <w:num w:numId="17" w16cid:durableId="517815193">
    <w:abstractNumId w:val="9"/>
  </w:num>
  <w:num w:numId="18" w16cid:durableId="1275752242">
    <w:abstractNumId w:val="19"/>
  </w:num>
  <w:num w:numId="19" w16cid:durableId="1417093260">
    <w:abstractNumId w:val="15"/>
  </w:num>
  <w:num w:numId="20" w16cid:durableId="925773427">
    <w:abstractNumId w:val="28"/>
  </w:num>
  <w:num w:numId="21" w16cid:durableId="306326423">
    <w:abstractNumId w:val="3"/>
  </w:num>
  <w:num w:numId="22" w16cid:durableId="1262372539">
    <w:abstractNumId w:val="14"/>
  </w:num>
  <w:num w:numId="23" w16cid:durableId="634524535">
    <w:abstractNumId w:val="13"/>
  </w:num>
  <w:num w:numId="24" w16cid:durableId="1509710620">
    <w:abstractNumId w:val="27"/>
  </w:num>
  <w:num w:numId="25" w16cid:durableId="475488186">
    <w:abstractNumId w:val="25"/>
  </w:num>
  <w:num w:numId="26" w16cid:durableId="577984225">
    <w:abstractNumId w:val="18"/>
  </w:num>
  <w:num w:numId="27" w16cid:durableId="236524678">
    <w:abstractNumId w:val="29"/>
  </w:num>
  <w:num w:numId="28" w16cid:durableId="1915163336">
    <w:abstractNumId w:val="11"/>
  </w:num>
  <w:num w:numId="29" w16cid:durableId="1180585837">
    <w:abstractNumId w:val="12"/>
  </w:num>
  <w:num w:numId="30" w16cid:durableId="130952112">
    <w:abstractNumId w:val="24"/>
  </w:num>
  <w:num w:numId="31" w16cid:durableId="758908027">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oofState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7CEF"/>
    <w:rsid w:val="00002BE6"/>
    <w:rsid w:val="0000481E"/>
    <w:rsid w:val="00004ACF"/>
    <w:rsid w:val="0000650D"/>
    <w:rsid w:val="00011B8F"/>
    <w:rsid w:val="00016AA8"/>
    <w:rsid w:val="0003651D"/>
    <w:rsid w:val="00041A91"/>
    <w:rsid w:val="00042F87"/>
    <w:rsid w:val="00047A99"/>
    <w:rsid w:val="000522DE"/>
    <w:rsid w:val="00057DC7"/>
    <w:rsid w:val="00061B76"/>
    <w:rsid w:val="00071946"/>
    <w:rsid w:val="0007385C"/>
    <w:rsid w:val="000974FB"/>
    <w:rsid w:val="00097DDE"/>
    <w:rsid w:val="000B4BF6"/>
    <w:rsid w:val="000C25FE"/>
    <w:rsid w:val="000E1A1B"/>
    <w:rsid w:val="000E462D"/>
    <w:rsid w:val="000F18FD"/>
    <w:rsid w:val="000F33BB"/>
    <w:rsid w:val="000F369C"/>
    <w:rsid w:val="000F5DD5"/>
    <w:rsid w:val="000F5E99"/>
    <w:rsid w:val="00100A17"/>
    <w:rsid w:val="00102A12"/>
    <w:rsid w:val="00110C08"/>
    <w:rsid w:val="0011441F"/>
    <w:rsid w:val="001218B6"/>
    <w:rsid w:val="00125EDD"/>
    <w:rsid w:val="00127E88"/>
    <w:rsid w:val="00146ED2"/>
    <w:rsid w:val="0014783E"/>
    <w:rsid w:val="00151889"/>
    <w:rsid w:val="00154124"/>
    <w:rsid w:val="001663D5"/>
    <w:rsid w:val="0017600B"/>
    <w:rsid w:val="00184345"/>
    <w:rsid w:val="00186512"/>
    <w:rsid w:val="001A20BE"/>
    <w:rsid w:val="001C19F4"/>
    <w:rsid w:val="001D269E"/>
    <w:rsid w:val="001E257C"/>
    <w:rsid w:val="001F4CBD"/>
    <w:rsid w:val="001F7C18"/>
    <w:rsid w:val="0020337F"/>
    <w:rsid w:val="00205B4B"/>
    <w:rsid w:val="00214068"/>
    <w:rsid w:val="00226BAA"/>
    <w:rsid w:val="00227A45"/>
    <w:rsid w:val="0023172D"/>
    <w:rsid w:val="00233BC7"/>
    <w:rsid w:val="002415E8"/>
    <w:rsid w:val="00246AB4"/>
    <w:rsid w:val="00247A96"/>
    <w:rsid w:val="00253E95"/>
    <w:rsid w:val="002559EB"/>
    <w:rsid w:val="00271968"/>
    <w:rsid w:val="00275C28"/>
    <w:rsid w:val="00285987"/>
    <w:rsid w:val="002904E7"/>
    <w:rsid w:val="00291ECE"/>
    <w:rsid w:val="00292D47"/>
    <w:rsid w:val="002943F1"/>
    <w:rsid w:val="002A0877"/>
    <w:rsid w:val="002A48E5"/>
    <w:rsid w:val="002B2D74"/>
    <w:rsid w:val="002B37C9"/>
    <w:rsid w:val="002B40AF"/>
    <w:rsid w:val="002C2E2F"/>
    <w:rsid w:val="002E379C"/>
    <w:rsid w:val="002E68AC"/>
    <w:rsid w:val="002E7C21"/>
    <w:rsid w:val="002F00FB"/>
    <w:rsid w:val="002F3C21"/>
    <w:rsid w:val="002F7A8D"/>
    <w:rsid w:val="00301325"/>
    <w:rsid w:val="00302B97"/>
    <w:rsid w:val="0030660F"/>
    <w:rsid w:val="0031035D"/>
    <w:rsid w:val="00311ED8"/>
    <w:rsid w:val="0032021E"/>
    <w:rsid w:val="00323D8C"/>
    <w:rsid w:val="003660D4"/>
    <w:rsid w:val="00370B59"/>
    <w:rsid w:val="00372120"/>
    <w:rsid w:val="00372ECA"/>
    <w:rsid w:val="00381BCC"/>
    <w:rsid w:val="0039127D"/>
    <w:rsid w:val="003A141C"/>
    <w:rsid w:val="003A66A2"/>
    <w:rsid w:val="003B0C33"/>
    <w:rsid w:val="003B1FFF"/>
    <w:rsid w:val="003B2015"/>
    <w:rsid w:val="003C1676"/>
    <w:rsid w:val="003C7439"/>
    <w:rsid w:val="003E0FB6"/>
    <w:rsid w:val="003F5C7C"/>
    <w:rsid w:val="00400FA4"/>
    <w:rsid w:val="00401DF9"/>
    <w:rsid w:val="004054C5"/>
    <w:rsid w:val="004068CA"/>
    <w:rsid w:val="00413764"/>
    <w:rsid w:val="00416171"/>
    <w:rsid w:val="00421E71"/>
    <w:rsid w:val="00422733"/>
    <w:rsid w:val="00423F65"/>
    <w:rsid w:val="00435B1D"/>
    <w:rsid w:val="00454A16"/>
    <w:rsid w:val="00455B95"/>
    <w:rsid w:val="004563FB"/>
    <w:rsid w:val="00460441"/>
    <w:rsid w:val="00470751"/>
    <w:rsid w:val="004721B5"/>
    <w:rsid w:val="004945D2"/>
    <w:rsid w:val="004A518A"/>
    <w:rsid w:val="004A56D0"/>
    <w:rsid w:val="004C1401"/>
    <w:rsid w:val="004D0585"/>
    <w:rsid w:val="004F6228"/>
    <w:rsid w:val="00511429"/>
    <w:rsid w:val="00516597"/>
    <w:rsid w:val="00516DAF"/>
    <w:rsid w:val="00523634"/>
    <w:rsid w:val="0052648A"/>
    <w:rsid w:val="00533F6D"/>
    <w:rsid w:val="00540B8E"/>
    <w:rsid w:val="00543697"/>
    <w:rsid w:val="00543C13"/>
    <w:rsid w:val="00556880"/>
    <w:rsid w:val="00565BFF"/>
    <w:rsid w:val="00581FC7"/>
    <w:rsid w:val="00582C3B"/>
    <w:rsid w:val="00586E75"/>
    <w:rsid w:val="00593642"/>
    <w:rsid w:val="005C6CB9"/>
    <w:rsid w:val="005D2BF4"/>
    <w:rsid w:val="005D4AF8"/>
    <w:rsid w:val="005D66C2"/>
    <w:rsid w:val="005F4555"/>
    <w:rsid w:val="005F730B"/>
    <w:rsid w:val="00610F8E"/>
    <w:rsid w:val="006134C5"/>
    <w:rsid w:val="006200C5"/>
    <w:rsid w:val="0062393D"/>
    <w:rsid w:val="00623BDE"/>
    <w:rsid w:val="00623F1B"/>
    <w:rsid w:val="00633543"/>
    <w:rsid w:val="00633FA6"/>
    <w:rsid w:val="0064631E"/>
    <w:rsid w:val="00651D2E"/>
    <w:rsid w:val="00662E4D"/>
    <w:rsid w:val="00664464"/>
    <w:rsid w:val="006654A7"/>
    <w:rsid w:val="00667B84"/>
    <w:rsid w:val="00671239"/>
    <w:rsid w:val="006736CA"/>
    <w:rsid w:val="006738CE"/>
    <w:rsid w:val="0067546A"/>
    <w:rsid w:val="006777D9"/>
    <w:rsid w:val="006806FC"/>
    <w:rsid w:val="006818F8"/>
    <w:rsid w:val="00690ED5"/>
    <w:rsid w:val="00692032"/>
    <w:rsid w:val="006A7447"/>
    <w:rsid w:val="006B0E0F"/>
    <w:rsid w:val="006B2638"/>
    <w:rsid w:val="006C4D1D"/>
    <w:rsid w:val="006C6FAA"/>
    <w:rsid w:val="006E01E2"/>
    <w:rsid w:val="006E0AE9"/>
    <w:rsid w:val="007018D8"/>
    <w:rsid w:val="00705014"/>
    <w:rsid w:val="0070632C"/>
    <w:rsid w:val="00712641"/>
    <w:rsid w:val="0072106E"/>
    <w:rsid w:val="00722632"/>
    <w:rsid w:val="00724EB3"/>
    <w:rsid w:val="00742660"/>
    <w:rsid w:val="007476AE"/>
    <w:rsid w:val="00752961"/>
    <w:rsid w:val="00753211"/>
    <w:rsid w:val="007535C5"/>
    <w:rsid w:val="007621D1"/>
    <w:rsid w:val="00771053"/>
    <w:rsid w:val="00773780"/>
    <w:rsid w:val="007750C2"/>
    <w:rsid w:val="00775EC7"/>
    <w:rsid w:val="00785DAC"/>
    <w:rsid w:val="0079084A"/>
    <w:rsid w:val="00792C2C"/>
    <w:rsid w:val="00795BE4"/>
    <w:rsid w:val="00795E08"/>
    <w:rsid w:val="007A0E52"/>
    <w:rsid w:val="007A4AC3"/>
    <w:rsid w:val="007B1D7E"/>
    <w:rsid w:val="007C3F07"/>
    <w:rsid w:val="007E1ABB"/>
    <w:rsid w:val="007E2357"/>
    <w:rsid w:val="007E3189"/>
    <w:rsid w:val="007E49C0"/>
    <w:rsid w:val="007F13E3"/>
    <w:rsid w:val="008002FF"/>
    <w:rsid w:val="00801478"/>
    <w:rsid w:val="00816D3E"/>
    <w:rsid w:val="00821175"/>
    <w:rsid w:val="0082235C"/>
    <w:rsid w:val="008245FD"/>
    <w:rsid w:val="00825F5E"/>
    <w:rsid w:val="00832EC3"/>
    <w:rsid w:val="00834A85"/>
    <w:rsid w:val="00844A66"/>
    <w:rsid w:val="00846D88"/>
    <w:rsid w:val="00853714"/>
    <w:rsid w:val="008579BB"/>
    <w:rsid w:val="00865FED"/>
    <w:rsid w:val="00875E59"/>
    <w:rsid w:val="0087734B"/>
    <w:rsid w:val="008846AC"/>
    <w:rsid w:val="00890214"/>
    <w:rsid w:val="0089771A"/>
    <w:rsid w:val="008A685F"/>
    <w:rsid w:val="008B00FC"/>
    <w:rsid w:val="008B2997"/>
    <w:rsid w:val="008C521D"/>
    <w:rsid w:val="008C7AB8"/>
    <w:rsid w:val="008C7DD3"/>
    <w:rsid w:val="008D17B6"/>
    <w:rsid w:val="008D6DE6"/>
    <w:rsid w:val="008E41B5"/>
    <w:rsid w:val="008F1778"/>
    <w:rsid w:val="009015C8"/>
    <w:rsid w:val="00902C84"/>
    <w:rsid w:val="00904E4C"/>
    <w:rsid w:val="0090669B"/>
    <w:rsid w:val="009169F8"/>
    <w:rsid w:val="00925A3A"/>
    <w:rsid w:val="0093198E"/>
    <w:rsid w:val="00943DBF"/>
    <w:rsid w:val="00946833"/>
    <w:rsid w:val="00947E40"/>
    <w:rsid w:val="009534D5"/>
    <w:rsid w:val="0095531A"/>
    <w:rsid w:val="00963F51"/>
    <w:rsid w:val="00965782"/>
    <w:rsid w:val="0097247E"/>
    <w:rsid w:val="00975340"/>
    <w:rsid w:val="009813F5"/>
    <w:rsid w:val="009A03B9"/>
    <w:rsid w:val="009A16BA"/>
    <w:rsid w:val="009A60A9"/>
    <w:rsid w:val="009A7DD3"/>
    <w:rsid w:val="009B6D4E"/>
    <w:rsid w:val="009C07A6"/>
    <w:rsid w:val="009C497B"/>
    <w:rsid w:val="009C5F28"/>
    <w:rsid w:val="009D72F2"/>
    <w:rsid w:val="009D73BB"/>
    <w:rsid w:val="009E5680"/>
    <w:rsid w:val="009F0A94"/>
    <w:rsid w:val="009F0F3F"/>
    <w:rsid w:val="009F1412"/>
    <w:rsid w:val="00A13B1E"/>
    <w:rsid w:val="00A22A4B"/>
    <w:rsid w:val="00A25A5D"/>
    <w:rsid w:val="00A333A3"/>
    <w:rsid w:val="00A37CEF"/>
    <w:rsid w:val="00A5423E"/>
    <w:rsid w:val="00A5655B"/>
    <w:rsid w:val="00A65A36"/>
    <w:rsid w:val="00A76626"/>
    <w:rsid w:val="00A7799D"/>
    <w:rsid w:val="00A91E13"/>
    <w:rsid w:val="00A96DB3"/>
    <w:rsid w:val="00A97C8B"/>
    <w:rsid w:val="00AA6CCC"/>
    <w:rsid w:val="00AC08F0"/>
    <w:rsid w:val="00AC7ACA"/>
    <w:rsid w:val="00AD00EB"/>
    <w:rsid w:val="00AD546F"/>
    <w:rsid w:val="00AD55E4"/>
    <w:rsid w:val="00AF207B"/>
    <w:rsid w:val="00AF2ADB"/>
    <w:rsid w:val="00AF3341"/>
    <w:rsid w:val="00AF54AA"/>
    <w:rsid w:val="00AF5780"/>
    <w:rsid w:val="00AF6269"/>
    <w:rsid w:val="00B0062D"/>
    <w:rsid w:val="00B05DBE"/>
    <w:rsid w:val="00B074C7"/>
    <w:rsid w:val="00B30BFD"/>
    <w:rsid w:val="00B35350"/>
    <w:rsid w:val="00B42B77"/>
    <w:rsid w:val="00B4571C"/>
    <w:rsid w:val="00B54521"/>
    <w:rsid w:val="00B6421A"/>
    <w:rsid w:val="00B671A2"/>
    <w:rsid w:val="00B737FE"/>
    <w:rsid w:val="00B8218A"/>
    <w:rsid w:val="00B83A19"/>
    <w:rsid w:val="00B91F76"/>
    <w:rsid w:val="00B9598C"/>
    <w:rsid w:val="00B9607E"/>
    <w:rsid w:val="00BC26B2"/>
    <w:rsid w:val="00BF05C4"/>
    <w:rsid w:val="00C01F44"/>
    <w:rsid w:val="00C06131"/>
    <w:rsid w:val="00C1392C"/>
    <w:rsid w:val="00C14AED"/>
    <w:rsid w:val="00C4118D"/>
    <w:rsid w:val="00C43F26"/>
    <w:rsid w:val="00C45841"/>
    <w:rsid w:val="00C476F7"/>
    <w:rsid w:val="00C6323A"/>
    <w:rsid w:val="00C72CEE"/>
    <w:rsid w:val="00C73C7F"/>
    <w:rsid w:val="00CC205D"/>
    <w:rsid w:val="00CC3ED4"/>
    <w:rsid w:val="00CC5B9A"/>
    <w:rsid w:val="00CE3303"/>
    <w:rsid w:val="00CE7110"/>
    <w:rsid w:val="00CF325A"/>
    <w:rsid w:val="00CF3E04"/>
    <w:rsid w:val="00CF75D3"/>
    <w:rsid w:val="00D10D18"/>
    <w:rsid w:val="00D11AD1"/>
    <w:rsid w:val="00D25E76"/>
    <w:rsid w:val="00D3736F"/>
    <w:rsid w:val="00D44995"/>
    <w:rsid w:val="00D45E08"/>
    <w:rsid w:val="00D60509"/>
    <w:rsid w:val="00D64CA2"/>
    <w:rsid w:val="00D73A82"/>
    <w:rsid w:val="00D73B7B"/>
    <w:rsid w:val="00D75D59"/>
    <w:rsid w:val="00D83111"/>
    <w:rsid w:val="00DA31C3"/>
    <w:rsid w:val="00DB4A50"/>
    <w:rsid w:val="00DB4ACF"/>
    <w:rsid w:val="00DC004D"/>
    <w:rsid w:val="00DE3962"/>
    <w:rsid w:val="00DE3FC7"/>
    <w:rsid w:val="00E0089C"/>
    <w:rsid w:val="00E02445"/>
    <w:rsid w:val="00E0451E"/>
    <w:rsid w:val="00E20C4C"/>
    <w:rsid w:val="00E210C6"/>
    <w:rsid w:val="00E242F2"/>
    <w:rsid w:val="00E307AE"/>
    <w:rsid w:val="00E324D7"/>
    <w:rsid w:val="00E3504A"/>
    <w:rsid w:val="00E4434F"/>
    <w:rsid w:val="00E51887"/>
    <w:rsid w:val="00E54DFC"/>
    <w:rsid w:val="00E57003"/>
    <w:rsid w:val="00E5796C"/>
    <w:rsid w:val="00E664AC"/>
    <w:rsid w:val="00E72958"/>
    <w:rsid w:val="00E751F4"/>
    <w:rsid w:val="00E76E43"/>
    <w:rsid w:val="00E8553E"/>
    <w:rsid w:val="00E912F8"/>
    <w:rsid w:val="00E97104"/>
    <w:rsid w:val="00E971FC"/>
    <w:rsid w:val="00EA3AA0"/>
    <w:rsid w:val="00EA3C4E"/>
    <w:rsid w:val="00EB7153"/>
    <w:rsid w:val="00ED212D"/>
    <w:rsid w:val="00ED61C6"/>
    <w:rsid w:val="00ED6BE3"/>
    <w:rsid w:val="00ED7681"/>
    <w:rsid w:val="00EE146F"/>
    <w:rsid w:val="00EE792E"/>
    <w:rsid w:val="00EF442F"/>
    <w:rsid w:val="00EF49CD"/>
    <w:rsid w:val="00EF6489"/>
    <w:rsid w:val="00F0171B"/>
    <w:rsid w:val="00F0289F"/>
    <w:rsid w:val="00F0613B"/>
    <w:rsid w:val="00F12745"/>
    <w:rsid w:val="00F15E15"/>
    <w:rsid w:val="00F165C8"/>
    <w:rsid w:val="00F218E6"/>
    <w:rsid w:val="00F31311"/>
    <w:rsid w:val="00F41331"/>
    <w:rsid w:val="00F44EF7"/>
    <w:rsid w:val="00F5202F"/>
    <w:rsid w:val="00F53396"/>
    <w:rsid w:val="00F5459B"/>
    <w:rsid w:val="00F60CFC"/>
    <w:rsid w:val="00F62BC8"/>
    <w:rsid w:val="00F630AF"/>
    <w:rsid w:val="00F74497"/>
    <w:rsid w:val="00F752DC"/>
    <w:rsid w:val="00F8145A"/>
    <w:rsid w:val="00F965A9"/>
    <w:rsid w:val="00F97406"/>
    <w:rsid w:val="00FA2618"/>
    <w:rsid w:val="00FA3338"/>
    <w:rsid w:val="00FB6173"/>
    <w:rsid w:val="00FC6786"/>
    <w:rsid w:val="00FC7347"/>
    <w:rsid w:val="00FE6607"/>
    <w:rsid w:val="00FF56DC"/>
    <w:rsid w:val="00FF61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D6E210"/>
  <w15:chartTrackingRefBased/>
  <w15:docId w15:val="{592D8395-509E-4F6B-91B0-F75564663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nhideWhenUsed="1" w:qFormat="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7CEF"/>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style>
  <w:style w:type="paragraph" w:styleId="Heading1">
    <w:name w:val="heading 1"/>
    <w:next w:val="Normal"/>
    <w:link w:val="Heading1Char1"/>
    <w:qFormat/>
    <w:rsid w:val="00A37CEF"/>
    <w:pPr>
      <w:keepNext/>
      <w:keepLines/>
      <w:numPr>
        <w:numId w:val="3"/>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kern w:val="0"/>
      <w:sz w:val="36"/>
      <w:szCs w:val="20"/>
      <w:lang w:val="en-GB"/>
      <w14:ligatures w14:val="none"/>
    </w:rPr>
  </w:style>
  <w:style w:type="paragraph" w:styleId="Heading2">
    <w:name w:val="heading 2"/>
    <w:basedOn w:val="Heading1"/>
    <w:next w:val="Normal"/>
    <w:link w:val="Heading2Char"/>
    <w:qFormat/>
    <w:rsid w:val="00A37CEF"/>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37CEF"/>
    <w:pPr>
      <w:numPr>
        <w:ilvl w:val="2"/>
      </w:numPr>
      <w:spacing w:before="120"/>
      <w:outlineLvl w:val="2"/>
    </w:pPr>
    <w:rPr>
      <w:sz w:val="28"/>
    </w:rPr>
  </w:style>
  <w:style w:type="paragraph" w:styleId="Heading4">
    <w:name w:val="heading 4"/>
    <w:aliases w:val="h4"/>
    <w:basedOn w:val="Heading3"/>
    <w:next w:val="Normal"/>
    <w:link w:val="Heading4Char"/>
    <w:qFormat/>
    <w:rsid w:val="00A37CEF"/>
    <w:pPr>
      <w:numPr>
        <w:ilvl w:val="3"/>
      </w:numPr>
      <w:outlineLvl w:val="3"/>
    </w:pPr>
    <w:rPr>
      <w:sz w:val="24"/>
    </w:rPr>
  </w:style>
  <w:style w:type="paragraph" w:styleId="Heading5">
    <w:name w:val="heading 5"/>
    <w:basedOn w:val="Heading4"/>
    <w:next w:val="Normal"/>
    <w:link w:val="Heading5Char"/>
    <w:qFormat/>
    <w:rsid w:val="00A37CEF"/>
    <w:pPr>
      <w:numPr>
        <w:ilvl w:val="4"/>
      </w:numPr>
      <w:outlineLvl w:val="4"/>
    </w:pPr>
    <w:rPr>
      <w:sz w:val="22"/>
    </w:rPr>
  </w:style>
  <w:style w:type="paragraph" w:styleId="Heading6">
    <w:name w:val="heading 6"/>
    <w:basedOn w:val="H6"/>
    <w:next w:val="Normal"/>
    <w:link w:val="Heading6Char"/>
    <w:qFormat/>
    <w:rsid w:val="00A37CEF"/>
    <w:pPr>
      <w:numPr>
        <w:ilvl w:val="5"/>
      </w:numPr>
      <w:outlineLvl w:val="5"/>
    </w:pPr>
  </w:style>
  <w:style w:type="paragraph" w:styleId="Heading7">
    <w:name w:val="heading 7"/>
    <w:basedOn w:val="H6"/>
    <w:next w:val="Normal"/>
    <w:link w:val="Heading7Char"/>
    <w:qFormat/>
    <w:rsid w:val="00A37CEF"/>
    <w:pPr>
      <w:numPr>
        <w:ilvl w:val="6"/>
      </w:numPr>
      <w:outlineLvl w:val="6"/>
    </w:pPr>
  </w:style>
  <w:style w:type="paragraph" w:styleId="Heading8">
    <w:name w:val="heading 8"/>
    <w:basedOn w:val="Heading1"/>
    <w:next w:val="Normal"/>
    <w:link w:val="Heading8Char"/>
    <w:qFormat/>
    <w:rsid w:val="00A37CEF"/>
    <w:pPr>
      <w:numPr>
        <w:ilvl w:val="7"/>
      </w:numPr>
      <w:outlineLvl w:val="7"/>
    </w:pPr>
  </w:style>
  <w:style w:type="paragraph" w:styleId="Heading9">
    <w:name w:val="heading 9"/>
    <w:basedOn w:val="Heading8"/>
    <w:next w:val="Normal"/>
    <w:link w:val="Heading9Char"/>
    <w:qFormat/>
    <w:rsid w:val="00A37CE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A37CEF"/>
    <w:rPr>
      <w:rFonts w:asciiTheme="majorHAnsi" w:eastAsiaTheme="majorEastAsia" w:hAnsiTheme="majorHAnsi" w:cstheme="majorBidi"/>
      <w:color w:val="2F5496" w:themeColor="accent1" w:themeShade="BF"/>
      <w:kern w:val="0"/>
      <w:sz w:val="32"/>
      <w:szCs w:val="32"/>
      <w14:ligatures w14:val="none"/>
    </w:rPr>
  </w:style>
  <w:style w:type="character" w:customStyle="1" w:styleId="Heading2Char">
    <w:name w:val="Heading 2 Char"/>
    <w:basedOn w:val="DefaultParagraphFont"/>
    <w:link w:val="Heading2"/>
    <w:rsid w:val="00A37CEF"/>
    <w:rPr>
      <w:rFonts w:ascii="Arial" w:eastAsia="SimSun" w:hAnsi="Arial" w:cs="Times New Roman"/>
      <w:kern w:val="0"/>
      <w:sz w:val="32"/>
      <w:szCs w:val="20"/>
      <w:lang w:val="en-GB"/>
      <w14:ligatures w14:val="none"/>
    </w:rPr>
  </w:style>
  <w:style w:type="character" w:customStyle="1" w:styleId="Heading3Char">
    <w:name w:val="Heading 3 Char"/>
    <w:basedOn w:val="DefaultParagraphFont"/>
    <w:link w:val="Heading3"/>
    <w:rsid w:val="00A37CEF"/>
    <w:rPr>
      <w:rFonts w:ascii="Arial" w:eastAsia="SimSun" w:hAnsi="Arial" w:cs="Times New Roman"/>
      <w:kern w:val="0"/>
      <w:sz w:val="28"/>
      <w:szCs w:val="20"/>
      <w:lang w:val="en-GB"/>
      <w14:ligatures w14:val="none"/>
    </w:rPr>
  </w:style>
  <w:style w:type="character" w:customStyle="1" w:styleId="Heading4Char">
    <w:name w:val="Heading 4 Char"/>
    <w:aliases w:val="h4 Char"/>
    <w:basedOn w:val="DefaultParagraphFont"/>
    <w:link w:val="Heading4"/>
    <w:rsid w:val="00A37CEF"/>
    <w:rPr>
      <w:rFonts w:ascii="Arial" w:eastAsia="SimSun" w:hAnsi="Arial" w:cs="Times New Roman"/>
      <w:kern w:val="0"/>
      <w:sz w:val="24"/>
      <w:szCs w:val="20"/>
      <w:lang w:val="en-GB"/>
      <w14:ligatures w14:val="none"/>
    </w:rPr>
  </w:style>
  <w:style w:type="character" w:customStyle="1" w:styleId="Heading5Char">
    <w:name w:val="Heading 5 Char"/>
    <w:basedOn w:val="DefaultParagraphFont"/>
    <w:link w:val="Heading5"/>
    <w:rsid w:val="00A37CEF"/>
    <w:rPr>
      <w:rFonts w:ascii="Arial" w:eastAsia="SimSun" w:hAnsi="Arial" w:cs="Times New Roman"/>
      <w:kern w:val="0"/>
      <w:szCs w:val="20"/>
      <w:lang w:val="en-GB"/>
      <w14:ligatures w14:val="none"/>
    </w:rPr>
  </w:style>
  <w:style w:type="character" w:customStyle="1" w:styleId="Heading6Char">
    <w:name w:val="Heading 6 Char"/>
    <w:basedOn w:val="DefaultParagraphFont"/>
    <w:link w:val="Heading6"/>
    <w:rsid w:val="00A37CEF"/>
    <w:rPr>
      <w:rFonts w:ascii="Arial" w:eastAsia="SimSun" w:hAnsi="Arial" w:cs="Times New Roman"/>
      <w:kern w:val="0"/>
      <w:sz w:val="20"/>
      <w:szCs w:val="20"/>
      <w:lang w:val="en-GB"/>
      <w14:ligatures w14:val="none"/>
    </w:rPr>
  </w:style>
  <w:style w:type="character" w:customStyle="1" w:styleId="Heading7Char">
    <w:name w:val="Heading 7 Char"/>
    <w:basedOn w:val="DefaultParagraphFont"/>
    <w:link w:val="Heading7"/>
    <w:rsid w:val="00A37CEF"/>
    <w:rPr>
      <w:rFonts w:ascii="Arial" w:eastAsia="SimSun" w:hAnsi="Arial" w:cs="Times New Roman"/>
      <w:kern w:val="0"/>
      <w:sz w:val="20"/>
      <w:szCs w:val="20"/>
      <w:lang w:val="en-GB"/>
      <w14:ligatures w14:val="none"/>
    </w:rPr>
  </w:style>
  <w:style w:type="character" w:customStyle="1" w:styleId="Heading8Char">
    <w:name w:val="Heading 8 Char"/>
    <w:basedOn w:val="DefaultParagraphFont"/>
    <w:link w:val="Heading8"/>
    <w:rsid w:val="00A37CEF"/>
    <w:rPr>
      <w:rFonts w:ascii="Arial" w:eastAsia="SimSun" w:hAnsi="Arial" w:cs="Times New Roman"/>
      <w:kern w:val="0"/>
      <w:sz w:val="36"/>
      <w:szCs w:val="20"/>
      <w:lang w:val="en-GB"/>
      <w14:ligatures w14:val="none"/>
    </w:rPr>
  </w:style>
  <w:style w:type="character" w:customStyle="1" w:styleId="Heading9Char">
    <w:name w:val="Heading 9 Char"/>
    <w:basedOn w:val="DefaultParagraphFont"/>
    <w:link w:val="Heading9"/>
    <w:rsid w:val="00A37CEF"/>
    <w:rPr>
      <w:rFonts w:ascii="Arial" w:eastAsia="SimSun" w:hAnsi="Arial" w:cs="Times New Roman"/>
      <w:kern w:val="0"/>
      <w:sz w:val="36"/>
      <w:szCs w:val="20"/>
      <w:lang w:val="en-GB"/>
      <w14:ligatures w14:val="none"/>
    </w:rPr>
  </w:style>
  <w:style w:type="paragraph" w:styleId="TOC8">
    <w:name w:val="toc 8"/>
    <w:basedOn w:val="TOC1"/>
    <w:semiHidden/>
    <w:rsid w:val="00A37CEF"/>
    <w:pPr>
      <w:spacing w:before="180"/>
      <w:ind w:left="2693" w:hanging="2693"/>
    </w:pPr>
    <w:rPr>
      <w:b/>
    </w:rPr>
  </w:style>
  <w:style w:type="paragraph" w:styleId="TOC1">
    <w:name w:val="toc 1"/>
    <w:semiHidden/>
    <w:rsid w:val="00A37CEF"/>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kern w:val="0"/>
      <w:szCs w:val="20"/>
      <w14:ligatures w14:val="none"/>
    </w:rPr>
  </w:style>
  <w:style w:type="paragraph" w:customStyle="1" w:styleId="ZT">
    <w:name w:val="ZT"/>
    <w:rsid w:val="00A37CE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SimSun" w:hAnsi="Arial" w:cs="Times New Roman"/>
      <w:b/>
      <w:kern w:val="0"/>
      <w:sz w:val="34"/>
      <w:szCs w:val="20"/>
      <w:lang w:val="en-GB"/>
      <w14:ligatures w14:val="none"/>
    </w:rPr>
  </w:style>
  <w:style w:type="paragraph" w:styleId="TOC5">
    <w:name w:val="toc 5"/>
    <w:basedOn w:val="TOC4"/>
    <w:semiHidden/>
    <w:rsid w:val="00A37CEF"/>
    <w:pPr>
      <w:ind w:left="1701" w:hanging="1701"/>
    </w:pPr>
  </w:style>
  <w:style w:type="paragraph" w:styleId="TOC4">
    <w:name w:val="toc 4"/>
    <w:basedOn w:val="TOC3"/>
    <w:semiHidden/>
    <w:rsid w:val="00A37CEF"/>
    <w:pPr>
      <w:ind w:left="1418" w:hanging="1418"/>
    </w:pPr>
  </w:style>
  <w:style w:type="paragraph" w:styleId="TOC3">
    <w:name w:val="toc 3"/>
    <w:basedOn w:val="TOC2"/>
    <w:semiHidden/>
    <w:rsid w:val="00A37CEF"/>
    <w:pPr>
      <w:ind w:left="1134" w:hanging="1134"/>
    </w:pPr>
  </w:style>
  <w:style w:type="paragraph" w:styleId="TOC2">
    <w:name w:val="toc 2"/>
    <w:basedOn w:val="TOC1"/>
    <w:semiHidden/>
    <w:rsid w:val="00A37CEF"/>
    <w:pPr>
      <w:keepNext w:val="0"/>
      <w:spacing w:before="0"/>
      <w:ind w:left="851" w:hanging="851"/>
    </w:pPr>
    <w:rPr>
      <w:sz w:val="20"/>
    </w:rPr>
  </w:style>
  <w:style w:type="paragraph" w:styleId="Index2">
    <w:name w:val="index 2"/>
    <w:basedOn w:val="Index1"/>
    <w:semiHidden/>
    <w:rsid w:val="00A37CEF"/>
    <w:pPr>
      <w:ind w:left="284"/>
    </w:pPr>
  </w:style>
  <w:style w:type="paragraph" w:styleId="Index1">
    <w:name w:val="index 1"/>
    <w:basedOn w:val="Normal"/>
    <w:semiHidden/>
    <w:rsid w:val="00A37CEF"/>
    <w:pPr>
      <w:keepLines/>
      <w:spacing w:after="0"/>
    </w:pPr>
  </w:style>
  <w:style w:type="paragraph" w:customStyle="1" w:styleId="ZH">
    <w:name w:val="ZH"/>
    <w:rsid w:val="00A37CEF"/>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SimSun" w:hAnsi="Arial" w:cs="Times New Roman"/>
      <w:noProof/>
      <w:kern w:val="0"/>
      <w:sz w:val="20"/>
      <w:szCs w:val="20"/>
      <w14:ligatures w14:val="none"/>
    </w:rPr>
  </w:style>
  <w:style w:type="paragraph" w:customStyle="1" w:styleId="TT">
    <w:name w:val="TT"/>
    <w:basedOn w:val="Heading1"/>
    <w:next w:val="Normal"/>
    <w:rsid w:val="00A37CEF"/>
    <w:pPr>
      <w:outlineLvl w:val="9"/>
    </w:pPr>
  </w:style>
  <w:style w:type="paragraph" w:styleId="ListNumber2">
    <w:name w:val="List Number 2"/>
    <w:basedOn w:val="ListNumber"/>
    <w:rsid w:val="00A37CE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37CEF"/>
    <w:pPr>
      <w:widowControl w:val="0"/>
      <w:overflowPunct w:val="0"/>
      <w:autoSpaceDE w:val="0"/>
      <w:autoSpaceDN w:val="0"/>
      <w:adjustRightInd w:val="0"/>
      <w:spacing w:after="0" w:line="240" w:lineRule="auto"/>
      <w:textAlignment w:val="baseline"/>
    </w:pPr>
    <w:rPr>
      <w:rFonts w:ascii="Arial" w:eastAsia="SimSun" w:hAnsi="Arial" w:cs="Times New Roman"/>
      <w:b/>
      <w:noProof/>
      <w:kern w:val="0"/>
      <w:sz w:val="18"/>
      <w:szCs w:val="20"/>
      <w14:ligatures w14:val="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37CEF"/>
    <w:rPr>
      <w:rFonts w:ascii="Arial" w:eastAsia="SimSun" w:hAnsi="Arial" w:cs="Times New Roman"/>
      <w:b/>
      <w:noProof/>
      <w:kern w:val="0"/>
      <w:sz w:val="18"/>
      <w:szCs w:val="20"/>
      <w14:ligatures w14:val="none"/>
    </w:rPr>
  </w:style>
  <w:style w:type="character" w:styleId="FootnoteReference">
    <w:name w:val="footnote reference"/>
    <w:semiHidden/>
    <w:rsid w:val="00A37CEF"/>
    <w:rPr>
      <w:b/>
      <w:position w:val="6"/>
      <w:sz w:val="16"/>
    </w:rPr>
  </w:style>
  <w:style w:type="paragraph" w:styleId="FootnoteText">
    <w:name w:val="footnote text"/>
    <w:basedOn w:val="Normal"/>
    <w:link w:val="FootnoteTextChar"/>
    <w:semiHidden/>
    <w:rsid w:val="00A37CEF"/>
    <w:pPr>
      <w:keepLines/>
      <w:spacing w:after="0"/>
      <w:ind w:left="454" w:hanging="454"/>
    </w:pPr>
    <w:rPr>
      <w:sz w:val="16"/>
    </w:rPr>
  </w:style>
  <w:style w:type="character" w:customStyle="1" w:styleId="FootnoteTextChar">
    <w:name w:val="Footnote Text Char"/>
    <w:basedOn w:val="DefaultParagraphFont"/>
    <w:link w:val="FootnoteText"/>
    <w:semiHidden/>
    <w:rsid w:val="00A37CEF"/>
    <w:rPr>
      <w:rFonts w:ascii="Times New Roman" w:eastAsia="SimSun" w:hAnsi="Times New Roman" w:cs="Times New Roman"/>
      <w:kern w:val="0"/>
      <w:sz w:val="16"/>
      <w:szCs w:val="20"/>
      <w14:ligatures w14:val="none"/>
    </w:rPr>
  </w:style>
  <w:style w:type="paragraph" w:customStyle="1" w:styleId="TAH">
    <w:name w:val="TAH"/>
    <w:basedOn w:val="TAC"/>
    <w:link w:val="TAHCar"/>
    <w:qFormat/>
    <w:rsid w:val="00A37CEF"/>
    <w:rPr>
      <w:b/>
    </w:rPr>
  </w:style>
  <w:style w:type="paragraph" w:customStyle="1" w:styleId="TAC">
    <w:name w:val="TAC"/>
    <w:basedOn w:val="TAL"/>
    <w:link w:val="TACChar"/>
    <w:qFormat/>
    <w:rsid w:val="00A37CEF"/>
    <w:pPr>
      <w:jc w:val="center"/>
    </w:pPr>
  </w:style>
  <w:style w:type="paragraph" w:customStyle="1" w:styleId="TF">
    <w:name w:val="TF"/>
    <w:basedOn w:val="TH"/>
    <w:rsid w:val="00A37CEF"/>
    <w:pPr>
      <w:keepNext w:val="0"/>
      <w:spacing w:before="0" w:after="240"/>
    </w:pPr>
  </w:style>
  <w:style w:type="paragraph" w:customStyle="1" w:styleId="NO">
    <w:name w:val="NO"/>
    <w:basedOn w:val="Normal"/>
    <w:rsid w:val="00A37CEF"/>
    <w:pPr>
      <w:keepLines/>
      <w:ind w:left="1135" w:hanging="851"/>
    </w:pPr>
  </w:style>
  <w:style w:type="paragraph" w:styleId="TOC9">
    <w:name w:val="toc 9"/>
    <w:basedOn w:val="TOC8"/>
    <w:semiHidden/>
    <w:rsid w:val="00A37CEF"/>
    <w:pPr>
      <w:ind w:left="1418" w:hanging="1418"/>
    </w:pPr>
  </w:style>
  <w:style w:type="paragraph" w:customStyle="1" w:styleId="EX">
    <w:name w:val="EX"/>
    <w:basedOn w:val="Normal"/>
    <w:rsid w:val="00A37CEF"/>
    <w:pPr>
      <w:keepLines/>
      <w:ind w:left="1702" w:hanging="1418"/>
    </w:pPr>
  </w:style>
  <w:style w:type="paragraph" w:customStyle="1" w:styleId="FP">
    <w:name w:val="FP"/>
    <w:basedOn w:val="Normal"/>
    <w:rsid w:val="00A37CEF"/>
    <w:pPr>
      <w:spacing w:after="0"/>
    </w:pPr>
  </w:style>
  <w:style w:type="paragraph" w:customStyle="1" w:styleId="LD">
    <w:name w:val="LD"/>
    <w:rsid w:val="00A37CEF"/>
    <w:pPr>
      <w:keepNext/>
      <w:keepLines/>
      <w:overflowPunct w:val="0"/>
      <w:autoSpaceDE w:val="0"/>
      <w:autoSpaceDN w:val="0"/>
      <w:adjustRightInd w:val="0"/>
      <w:spacing w:after="0" w:line="180" w:lineRule="exact"/>
      <w:textAlignment w:val="baseline"/>
    </w:pPr>
    <w:rPr>
      <w:rFonts w:ascii="Courier New" w:eastAsia="SimSun" w:hAnsi="Courier New" w:cs="Times New Roman"/>
      <w:noProof/>
      <w:kern w:val="0"/>
      <w:sz w:val="20"/>
      <w:szCs w:val="20"/>
      <w14:ligatures w14:val="none"/>
    </w:rPr>
  </w:style>
  <w:style w:type="paragraph" w:customStyle="1" w:styleId="NW">
    <w:name w:val="NW"/>
    <w:basedOn w:val="NO"/>
    <w:rsid w:val="00A37CEF"/>
    <w:pPr>
      <w:spacing w:after="0"/>
    </w:pPr>
  </w:style>
  <w:style w:type="paragraph" w:customStyle="1" w:styleId="EW">
    <w:name w:val="EW"/>
    <w:basedOn w:val="EX"/>
    <w:rsid w:val="00A37CEF"/>
    <w:pPr>
      <w:spacing w:after="0"/>
    </w:pPr>
  </w:style>
  <w:style w:type="paragraph" w:styleId="TOC6">
    <w:name w:val="toc 6"/>
    <w:basedOn w:val="TOC5"/>
    <w:next w:val="Normal"/>
    <w:semiHidden/>
    <w:rsid w:val="00A37CEF"/>
    <w:pPr>
      <w:ind w:left="1985" w:hanging="1985"/>
    </w:pPr>
  </w:style>
  <w:style w:type="paragraph" w:styleId="TOC7">
    <w:name w:val="toc 7"/>
    <w:basedOn w:val="TOC6"/>
    <w:next w:val="Normal"/>
    <w:semiHidden/>
    <w:rsid w:val="00A37CEF"/>
    <w:pPr>
      <w:ind w:left="2268" w:hanging="2268"/>
    </w:pPr>
  </w:style>
  <w:style w:type="paragraph" w:styleId="ListBullet2">
    <w:name w:val="List Bullet 2"/>
    <w:basedOn w:val="ListBullet"/>
    <w:rsid w:val="00A37CEF"/>
    <w:pPr>
      <w:ind w:left="851"/>
    </w:pPr>
  </w:style>
  <w:style w:type="paragraph" w:styleId="ListBullet3">
    <w:name w:val="List Bullet 3"/>
    <w:basedOn w:val="ListBullet2"/>
    <w:uiPriority w:val="99"/>
    <w:qFormat/>
    <w:rsid w:val="00A37CEF"/>
    <w:pPr>
      <w:ind w:left="1135"/>
    </w:pPr>
  </w:style>
  <w:style w:type="paragraph" w:styleId="ListNumber">
    <w:name w:val="List Number"/>
    <w:basedOn w:val="List"/>
    <w:rsid w:val="00A37CEF"/>
  </w:style>
  <w:style w:type="paragraph" w:customStyle="1" w:styleId="EQ">
    <w:name w:val="EQ"/>
    <w:basedOn w:val="Normal"/>
    <w:next w:val="Normal"/>
    <w:link w:val="EQChar"/>
    <w:uiPriority w:val="99"/>
    <w:qFormat/>
    <w:rsid w:val="00A37CEF"/>
    <w:pPr>
      <w:keepLines/>
      <w:tabs>
        <w:tab w:val="center" w:pos="4536"/>
        <w:tab w:val="right" w:pos="9072"/>
      </w:tabs>
    </w:pPr>
    <w:rPr>
      <w:noProof/>
    </w:rPr>
  </w:style>
  <w:style w:type="paragraph" w:customStyle="1" w:styleId="TH">
    <w:name w:val="TH"/>
    <w:basedOn w:val="Normal"/>
    <w:link w:val="THChar"/>
    <w:qFormat/>
    <w:rsid w:val="00A37CEF"/>
    <w:pPr>
      <w:keepNext/>
      <w:keepLines/>
      <w:spacing w:before="60"/>
      <w:jc w:val="center"/>
    </w:pPr>
    <w:rPr>
      <w:rFonts w:ascii="Arial" w:hAnsi="Arial"/>
      <w:b/>
    </w:rPr>
  </w:style>
  <w:style w:type="paragraph" w:customStyle="1" w:styleId="NF">
    <w:name w:val="NF"/>
    <w:basedOn w:val="NO"/>
    <w:rsid w:val="00A37CEF"/>
    <w:pPr>
      <w:keepNext/>
      <w:spacing w:after="0"/>
    </w:pPr>
    <w:rPr>
      <w:rFonts w:ascii="Arial" w:hAnsi="Arial"/>
      <w:sz w:val="18"/>
    </w:rPr>
  </w:style>
  <w:style w:type="paragraph" w:customStyle="1" w:styleId="PL">
    <w:name w:val="PL"/>
    <w:rsid w:val="00A37C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SimSun" w:hAnsi="Courier New" w:cs="Times New Roman"/>
      <w:noProof/>
      <w:kern w:val="0"/>
      <w:sz w:val="16"/>
      <w:szCs w:val="20"/>
      <w14:ligatures w14:val="none"/>
    </w:rPr>
  </w:style>
  <w:style w:type="paragraph" w:customStyle="1" w:styleId="TAR">
    <w:name w:val="TAR"/>
    <w:basedOn w:val="TAL"/>
    <w:rsid w:val="00A37CEF"/>
    <w:pPr>
      <w:jc w:val="right"/>
    </w:pPr>
  </w:style>
  <w:style w:type="paragraph" w:customStyle="1" w:styleId="H6">
    <w:name w:val="H6"/>
    <w:basedOn w:val="Heading5"/>
    <w:next w:val="Normal"/>
    <w:rsid w:val="00A37CEF"/>
    <w:pPr>
      <w:ind w:left="1985" w:hanging="1985"/>
      <w:outlineLvl w:val="9"/>
    </w:pPr>
    <w:rPr>
      <w:sz w:val="20"/>
    </w:rPr>
  </w:style>
  <w:style w:type="paragraph" w:customStyle="1" w:styleId="TAN">
    <w:name w:val="TAN"/>
    <w:basedOn w:val="TAL"/>
    <w:rsid w:val="00A37CEF"/>
    <w:pPr>
      <w:ind w:left="851" w:hanging="851"/>
    </w:pPr>
  </w:style>
  <w:style w:type="paragraph" w:customStyle="1" w:styleId="TAL">
    <w:name w:val="TAL"/>
    <w:basedOn w:val="Normal"/>
    <w:link w:val="TALChar"/>
    <w:rsid w:val="00A37CEF"/>
    <w:pPr>
      <w:keepNext/>
      <w:keepLines/>
      <w:spacing w:after="0"/>
    </w:pPr>
    <w:rPr>
      <w:rFonts w:ascii="Arial" w:hAnsi="Arial"/>
      <w:sz w:val="18"/>
    </w:rPr>
  </w:style>
  <w:style w:type="paragraph" w:customStyle="1" w:styleId="ZA">
    <w:name w:val="ZA"/>
    <w:rsid w:val="00A37CE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kern w:val="0"/>
      <w:sz w:val="40"/>
      <w:szCs w:val="20"/>
      <w14:ligatures w14:val="none"/>
    </w:rPr>
  </w:style>
  <w:style w:type="paragraph" w:customStyle="1" w:styleId="ZB">
    <w:name w:val="ZB"/>
    <w:rsid w:val="00A37CE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SimSun" w:hAnsi="Arial" w:cs="Times New Roman"/>
      <w:i/>
      <w:noProof/>
      <w:kern w:val="0"/>
      <w:sz w:val="20"/>
      <w:szCs w:val="20"/>
      <w14:ligatures w14:val="none"/>
    </w:rPr>
  </w:style>
  <w:style w:type="paragraph" w:customStyle="1" w:styleId="ZD">
    <w:name w:val="ZD"/>
    <w:rsid w:val="00A37CEF"/>
    <w:pPr>
      <w:framePr w:wrap="notBeside" w:vAnchor="page" w:hAnchor="margin" w:y="15764"/>
      <w:widowControl w:val="0"/>
      <w:overflowPunct w:val="0"/>
      <w:autoSpaceDE w:val="0"/>
      <w:autoSpaceDN w:val="0"/>
      <w:adjustRightInd w:val="0"/>
      <w:spacing w:after="0" w:line="240" w:lineRule="auto"/>
      <w:textAlignment w:val="baseline"/>
    </w:pPr>
    <w:rPr>
      <w:rFonts w:ascii="Arial" w:eastAsia="SimSun" w:hAnsi="Arial" w:cs="Times New Roman"/>
      <w:noProof/>
      <w:kern w:val="0"/>
      <w:sz w:val="32"/>
      <w:szCs w:val="20"/>
      <w14:ligatures w14:val="none"/>
    </w:rPr>
  </w:style>
  <w:style w:type="paragraph" w:customStyle="1" w:styleId="ZU">
    <w:name w:val="ZU"/>
    <w:rsid w:val="00A37CEF"/>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kern w:val="0"/>
      <w:sz w:val="20"/>
      <w:szCs w:val="20"/>
      <w14:ligatures w14:val="none"/>
    </w:rPr>
  </w:style>
  <w:style w:type="paragraph" w:customStyle="1" w:styleId="ZV">
    <w:name w:val="ZV"/>
    <w:basedOn w:val="ZU"/>
    <w:rsid w:val="00A37CEF"/>
    <w:pPr>
      <w:framePr w:wrap="notBeside" w:y="16161"/>
    </w:pPr>
  </w:style>
  <w:style w:type="character" w:customStyle="1" w:styleId="ZGSM">
    <w:name w:val="ZGSM"/>
    <w:rsid w:val="00A37CEF"/>
  </w:style>
  <w:style w:type="paragraph" w:styleId="List2">
    <w:name w:val="List 2"/>
    <w:basedOn w:val="List"/>
    <w:rsid w:val="00A37CEF"/>
    <w:pPr>
      <w:ind w:left="851"/>
    </w:pPr>
  </w:style>
  <w:style w:type="paragraph" w:customStyle="1" w:styleId="ZG">
    <w:name w:val="ZG"/>
    <w:rsid w:val="00A37CEF"/>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SimSun" w:hAnsi="Arial" w:cs="Times New Roman"/>
      <w:noProof/>
      <w:kern w:val="0"/>
      <w:sz w:val="20"/>
      <w:szCs w:val="20"/>
      <w14:ligatures w14:val="none"/>
    </w:rPr>
  </w:style>
  <w:style w:type="paragraph" w:styleId="List3">
    <w:name w:val="List 3"/>
    <w:basedOn w:val="List2"/>
    <w:rsid w:val="00A37CEF"/>
    <w:pPr>
      <w:ind w:left="1135"/>
    </w:pPr>
  </w:style>
  <w:style w:type="paragraph" w:styleId="List4">
    <w:name w:val="List 4"/>
    <w:basedOn w:val="List3"/>
    <w:rsid w:val="00A37CEF"/>
    <w:pPr>
      <w:ind w:left="1418"/>
    </w:pPr>
  </w:style>
  <w:style w:type="paragraph" w:styleId="List5">
    <w:name w:val="List 5"/>
    <w:basedOn w:val="List4"/>
    <w:rsid w:val="00A37CEF"/>
    <w:pPr>
      <w:ind w:left="1702"/>
    </w:pPr>
  </w:style>
  <w:style w:type="paragraph" w:customStyle="1" w:styleId="EditorsNote">
    <w:name w:val="Editor's Note"/>
    <w:basedOn w:val="NO"/>
    <w:rsid w:val="00A37CEF"/>
    <w:rPr>
      <w:color w:val="FF0000"/>
    </w:rPr>
  </w:style>
  <w:style w:type="paragraph" w:styleId="List">
    <w:name w:val="List"/>
    <w:basedOn w:val="Normal"/>
    <w:rsid w:val="00A37CEF"/>
    <w:pPr>
      <w:ind w:left="568" w:hanging="284"/>
    </w:pPr>
  </w:style>
  <w:style w:type="paragraph" w:styleId="ListBullet">
    <w:name w:val="List Bullet"/>
    <w:basedOn w:val="List"/>
    <w:rsid w:val="00A37CEF"/>
  </w:style>
  <w:style w:type="paragraph" w:styleId="ListBullet4">
    <w:name w:val="List Bullet 4"/>
    <w:basedOn w:val="ListBullet3"/>
    <w:rsid w:val="00A37CEF"/>
    <w:pPr>
      <w:ind w:left="1418"/>
    </w:pPr>
  </w:style>
  <w:style w:type="paragraph" w:styleId="ListBullet5">
    <w:name w:val="List Bullet 5"/>
    <w:basedOn w:val="ListBullet4"/>
    <w:rsid w:val="00A37CEF"/>
    <w:pPr>
      <w:ind w:left="1702"/>
    </w:pPr>
  </w:style>
  <w:style w:type="paragraph" w:customStyle="1" w:styleId="B1">
    <w:name w:val="B1"/>
    <w:basedOn w:val="List"/>
    <w:link w:val="B1Char1"/>
    <w:qFormat/>
    <w:rsid w:val="00A37CEF"/>
  </w:style>
  <w:style w:type="paragraph" w:customStyle="1" w:styleId="B2">
    <w:name w:val="B2"/>
    <w:basedOn w:val="List2"/>
    <w:link w:val="B2Char"/>
    <w:qFormat/>
    <w:rsid w:val="00A37CEF"/>
  </w:style>
  <w:style w:type="paragraph" w:customStyle="1" w:styleId="B3">
    <w:name w:val="B3"/>
    <w:basedOn w:val="List3"/>
    <w:link w:val="B3Char"/>
    <w:rsid w:val="00A37CEF"/>
  </w:style>
  <w:style w:type="paragraph" w:customStyle="1" w:styleId="B4">
    <w:name w:val="B4"/>
    <w:basedOn w:val="List4"/>
    <w:rsid w:val="00A37CEF"/>
  </w:style>
  <w:style w:type="paragraph" w:customStyle="1" w:styleId="B5">
    <w:name w:val="B5"/>
    <w:basedOn w:val="List5"/>
    <w:rsid w:val="00A37CEF"/>
  </w:style>
  <w:style w:type="paragraph" w:styleId="Footer">
    <w:name w:val="footer"/>
    <w:basedOn w:val="Header"/>
    <w:link w:val="FooterChar"/>
    <w:rsid w:val="00A37CEF"/>
    <w:pPr>
      <w:jc w:val="center"/>
    </w:pPr>
    <w:rPr>
      <w:i/>
    </w:rPr>
  </w:style>
  <w:style w:type="character" w:customStyle="1" w:styleId="FooterChar">
    <w:name w:val="Footer Char"/>
    <w:basedOn w:val="DefaultParagraphFont"/>
    <w:link w:val="Footer"/>
    <w:rsid w:val="00A37CEF"/>
    <w:rPr>
      <w:rFonts w:ascii="Arial" w:eastAsia="SimSun" w:hAnsi="Arial" w:cs="Times New Roman"/>
      <w:b/>
      <w:i/>
      <w:noProof/>
      <w:kern w:val="0"/>
      <w:sz w:val="18"/>
      <w:szCs w:val="20"/>
      <w14:ligatures w14:val="none"/>
    </w:rPr>
  </w:style>
  <w:style w:type="paragraph" w:customStyle="1" w:styleId="ZTD">
    <w:name w:val="ZTD"/>
    <w:basedOn w:val="ZB"/>
    <w:rsid w:val="00A37CEF"/>
    <w:pPr>
      <w:framePr w:hRule="auto" w:wrap="notBeside" w:y="852"/>
    </w:pPr>
    <w:rPr>
      <w:i w:val="0"/>
      <w:sz w:val="40"/>
    </w:rPr>
  </w:style>
  <w:style w:type="character" w:customStyle="1" w:styleId="MTEquationSection">
    <w:name w:val="MTEquationSection"/>
    <w:rsid w:val="00A37CEF"/>
    <w:rPr>
      <w:rFonts w:ascii="Arial" w:hAnsi="Arial"/>
      <w:vanish w:val="0"/>
      <w:color w:val="FF0000"/>
      <w:sz w:val="24"/>
    </w:rPr>
  </w:style>
  <w:style w:type="paragraph" w:styleId="BodyText3">
    <w:name w:val="Body Text 3"/>
    <w:basedOn w:val="Normal"/>
    <w:link w:val="BodyText3Char"/>
    <w:rsid w:val="00A37CEF"/>
    <w:rPr>
      <w:i/>
    </w:rPr>
  </w:style>
  <w:style w:type="character" w:customStyle="1" w:styleId="BodyText3Char">
    <w:name w:val="Body Text 3 Char"/>
    <w:basedOn w:val="DefaultParagraphFont"/>
    <w:link w:val="BodyText3"/>
    <w:rsid w:val="00A37CEF"/>
    <w:rPr>
      <w:rFonts w:ascii="Times New Roman" w:eastAsia="SimSun" w:hAnsi="Times New Roman" w:cs="Times New Roman"/>
      <w:i/>
      <w:kern w:val="0"/>
      <w:sz w:val="20"/>
      <w:szCs w:val="20"/>
      <w14:ligatures w14:val="none"/>
    </w:rPr>
  </w:style>
  <w:style w:type="paragraph" w:styleId="DocumentMap">
    <w:name w:val="Document Map"/>
    <w:basedOn w:val="Normal"/>
    <w:link w:val="DocumentMapChar"/>
    <w:semiHidden/>
    <w:rsid w:val="00A37CEF"/>
    <w:pPr>
      <w:shd w:val="clear" w:color="auto" w:fill="000080"/>
    </w:pPr>
    <w:rPr>
      <w:rFonts w:ascii="Tahoma" w:hAnsi="Tahoma"/>
    </w:rPr>
  </w:style>
  <w:style w:type="character" w:customStyle="1" w:styleId="DocumentMapChar">
    <w:name w:val="Document Map Char"/>
    <w:basedOn w:val="DefaultParagraphFont"/>
    <w:link w:val="DocumentMap"/>
    <w:semiHidden/>
    <w:rsid w:val="00A37CEF"/>
    <w:rPr>
      <w:rFonts w:ascii="Tahoma" w:eastAsia="SimSun" w:hAnsi="Tahoma" w:cs="Times New Roman"/>
      <w:kern w:val="0"/>
      <w:sz w:val="20"/>
      <w:szCs w:val="20"/>
      <w:shd w:val="clear" w:color="auto" w:fill="000080"/>
      <w14:ligatures w14:val="none"/>
    </w:rPr>
  </w:style>
  <w:style w:type="paragraph" w:customStyle="1" w:styleId="Bulletedo1">
    <w:name w:val="Bulleted o 1"/>
    <w:basedOn w:val="Normal"/>
    <w:rsid w:val="00A37CEF"/>
    <w:pPr>
      <w:numPr>
        <w:numId w:val="1"/>
      </w:numPr>
    </w:pPr>
  </w:style>
  <w:style w:type="paragraph" w:customStyle="1" w:styleId="text">
    <w:name w:val="text"/>
    <w:basedOn w:val="Normal"/>
    <w:rsid w:val="00A37CEF"/>
    <w:pPr>
      <w:spacing w:after="240"/>
      <w:jc w:val="both"/>
    </w:pPr>
    <w:rPr>
      <w:sz w:val="24"/>
      <w:lang w:eastAsia="zh-CN"/>
    </w:rPr>
  </w:style>
  <w:style w:type="paragraph" w:customStyle="1" w:styleId="Equation">
    <w:name w:val="Equation"/>
    <w:basedOn w:val="Normal"/>
    <w:next w:val="Normal"/>
    <w:rsid w:val="00A37CEF"/>
    <w:pPr>
      <w:tabs>
        <w:tab w:val="right" w:pos="10206"/>
      </w:tabs>
      <w:spacing w:after="220"/>
      <w:ind w:left="1298"/>
    </w:pPr>
    <w:rPr>
      <w:rFonts w:ascii="Arial" w:hAnsi="Arial"/>
      <w:sz w:val="22"/>
      <w:lang w:eastAsia="zh-CN"/>
    </w:rPr>
  </w:style>
  <w:style w:type="paragraph" w:customStyle="1" w:styleId="00BodyText">
    <w:name w:val="00 BodyText"/>
    <w:basedOn w:val="Normal"/>
    <w:rsid w:val="00A37CEF"/>
    <w:pPr>
      <w:spacing w:after="220"/>
    </w:pPr>
    <w:rPr>
      <w:rFonts w:ascii="Arial" w:hAnsi="Arial"/>
      <w:sz w:val="22"/>
    </w:rPr>
  </w:style>
  <w:style w:type="paragraph" w:customStyle="1" w:styleId="11BodyText">
    <w:name w:val="11 BodyText"/>
    <w:basedOn w:val="Normal"/>
    <w:rsid w:val="00A37CEF"/>
    <w:pPr>
      <w:spacing w:after="220"/>
      <w:ind w:left="1298"/>
    </w:pPr>
    <w:rPr>
      <w:rFonts w:ascii="Arial" w:hAnsi="Arial"/>
      <w:sz w:val="22"/>
    </w:rPr>
  </w:style>
  <w:style w:type="paragraph" w:customStyle="1" w:styleId="table">
    <w:name w:val="table"/>
    <w:basedOn w:val="text"/>
    <w:next w:val="text"/>
    <w:rsid w:val="00A37CEF"/>
    <w:pPr>
      <w:spacing w:after="0"/>
      <w:jc w:val="center"/>
    </w:pPr>
    <w:rPr>
      <w:sz w:val="20"/>
    </w:rPr>
  </w:style>
  <w:style w:type="paragraph" w:styleId="Caption">
    <w:name w:val="caption"/>
    <w:aliases w:val="cap"/>
    <w:basedOn w:val="Normal"/>
    <w:next w:val="Normal"/>
    <w:link w:val="CaptionChar"/>
    <w:qFormat/>
    <w:rsid w:val="00A37CEF"/>
    <w:pPr>
      <w:spacing w:before="120" w:after="120"/>
    </w:pPr>
    <w:rPr>
      <w:b/>
      <w:bCs/>
    </w:rPr>
  </w:style>
  <w:style w:type="paragraph" w:customStyle="1" w:styleId="bodyCharCharChar">
    <w:name w:val="body Char Char Char"/>
    <w:basedOn w:val="Normal"/>
    <w:rsid w:val="00A37CEF"/>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A37CEF"/>
    <w:pPr>
      <w:spacing w:after="120"/>
      <w:jc w:val="both"/>
    </w:pPr>
    <w:rPr>
      <w:rFonts w:ascii="Times" w:hAnsi="Times"/>
      <w:szCs w:val="24"/>
    </w:rPr>
  </w:style>
  <w:style w:type="character" w:customStyle="1" w:styleId="BodyTextChar">
    <w:name w:val="Body Text Char"/>
    <w:aliases w:val="bt Char"/>
    <w:basedOn w:val="DefaultParagraphFont"/>
    <w:link w:val="BodyText"/>
    <w:rsid w:val="00A37CEF"/>
    <w:rPr>
      <w:rFonts w:ascii="Times" w:eastAsia="SimSun" w:hAnsi="Times" w:cs="Times New Roman"/>
      <w:kern w:val="0"/>
      <w:sz w:val="20"/>
      <w:szCs w:val="24"/>
      <w14:ligatures w14:val="none"/>
    </w:rPr>
  </w:style>
  <w:style w:type="paragraph" w:styleId="BodyText2">
    <w:name w:val="Body Text 2"/>
    <w:basedOn w:val="Normal"/>
    <w:link w:val="BodyText2Char"/>
    <w:rsid w:val="00A37CEF"/>
    <w:pPr>
      <w:tabs>
        <w:tab w:val="left" w:pos="1985"/>
      </w:tabs>
      <w:spacing w:after="0"/>
      <w:jc w:val="both"/>
    </w:pPr>
    <w:rPr>
      <w:rFonts w:ascii="Arial" w:hAnsi="Arial"/>
      <w:sz w:val="22"/>
    </w:rPr>
  </w:style>
  <w:style w:type="character" w:customStyle="1" w:styleId="BodyText2Char">
    <w:name w:val="Body Text 2 Char"/>
    <w:basedOn w:val="DefaultParagraphFont"/>
    <w:link w:val="BodyText2"/>
    <w:rsid w:val="00A37CEF"/>
    <w:rPr>
      <w:rFonts w:ascii="Arial" w:eastAsia="SimSun" w:hAnsi="Arial" w:cs="Times New Roman"/>
      <w:kern w:val="0"/>
      <w:szCs w:val="20"/>
      <w14:ligatures w14:val="none"/>
    </w:rPr>
  </w:style>
  <w:style w:type="paragraph" w:customStyle="1" w:styleId="body">
    <w:name w:val="body"/>
    <w:basedOn w:val="Normal"/>
    <w:link w:val="bodyChar"/>
    <w:rsid w:val="00A37CEF"/>
    <w:pPr>
      <w:tabs>
        <w:tab w:val="left" w:pos="2160"/>
      </w:tabs>
      <w:spacing w:before="120" w:after="120" w:line="280" w:lineRule="atLeast"/>
      <w:jc w:val="both"/>
    </w:pPr>
    <w:rPr>
      <w:rFonts w:ascii="New York" w:hAnsi="New York"/>
      <w:sz w:val="24"/>
    </w:rPr>
  </w:style>
  <w:style w:type="table" w:styleId="TableGrid">
    <w:name w:val="Table Grid"/>
    <w:aliases w:val="TableGrid"/>
    <w:basedOn w:val="TableNormal"/>
    <w:uiPriority w:val="39"/>
    <w:qFormat/>
    <w:rsid w:val="00A37CEF"/>
    <w:pPr>
      <w:spacing w:before="120" w:after="0" w:line="280" w:lineRule="atLeast"/>
      <w:jc w:val="both"/>
    </w:pPr>
    <w:rPr>
      <w:rFonts w:ascii="New York" w:eastAsia="SimSun" w:hAnsi="New York"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A37CEF"/>
  </w:style>
  <w:style w:type="character" w:styleId="CommentReference">
    <w:name w:val="annotation reference"/>
    <w:semiHidden/>
    <w:rsid w:val="00A37CEF"/>
    <w:rPr>
      <w:sz w:val="16"/>
      <w:szCs w:val="16"/>
    </w:rPr>
  </w:style>
  <w:style w:type="paragraph" w:styleId="CommentText">
    <w:name w:val="annotation text"/>
    <w:basedOn w:val="Normal"/>
    <w:link w:val="CommentTextChar"/>
    <w:rsid w:val="00A37CEF"/>
    <w:rPr>
      <w:lang w:eastAsia="x-none"/>
    </w:rPr>
  </w:style>
  <w:style w:type="character" w:customStyle="1" w:styleId="CommentTextChar">
    <w:name w:val="Comment Text Char"/>
    <w:basedOn w:val="DefaultParagraphFont"/>
    <w:link w:val="CommentText"/>
    <w:rsid w:val="00A37CEF"/>
    <w:rPr>
      <w:rFonts w:ascii="Times New Roman" w:eastAsia="SimSun" w:hAnsi="Times New Roman" w:cs="Times New Roman"/>
      <w:kern w:val="0"/>
      <w:sz w:val="20"/>
      <w:szCs w:val="20"/>
      <w:lang w:eastAsia="x-none"/>
      <w14:ligatures w14:val="none"/>
    </w:rPr>
  </w:style>
  <w:style w:type="paragraph" w:styleId="CommentSubject">
    <w:name w:val="annotation subject"/>
    <w:basedOn w:val="CommentText"/>
    <w:next w:val="CommentText"/>
    <w:link w:val="CommentSubjectChar"/>
    <w:semiHidden/>
    <w:rsid w:val="00A37CEF"/>
    <w:rPr>
      <w:b/>
      <w:bCs/>
    </w:rPr>
  </w:style>
  <w:style w:type="character" w:customStyle="1" w:styleId="CommentSubjectChar">
    <w:name w:val="Comment Subject Char"/>
    <w:basedOn w:val="CommentTextChar"/>
    <w:link w:val="CommentSubject"/>
    <w:semiHidden/>
    <w:rsid w:val="00A37CEF"/>
    <w:rPr>
      <w:rFonts w:ascii="Times New Roman" w:eastAsia="SimSun" w:hAnsi="Times New Roman" w:cs="Times New Roman"/>
      <w:b/>
      <w:bCs/>
      <w:kern w:val="0"/>
      <w:sz w:val="20"/>
      <w:szCs w:val="20"/>
      <w:lang w:eastAsia="x-none"/>
      <w14:ligatures w14:val="none"/>
    </w:rPr>
  </w:style>
  <w:style w:type="paragraph" w:styleId="BalloonText">
    <w:name w:val="Balloon Text"/>
    <w:basedOn w:val="Normal"/>
    <w:link w:val="BalloonTextChar"/>
    <w:semiHidden/>
    <w:rsid w:val="00A37CEF"/>
    <w:rPr>
      <w:rFonts w:ascii="Tahoma" w:hAnsi="Tahoma" w:cs="Tahoma"/>
      <w:sz w:val="16"/>
      <w:szCs w:val="16"/>
    </w:rPr>
  </w:style>
  <w:style w:type="character" w:customStyle="1" w:styleId="BalloonTextChar">
    <w:name w:val="Balloon Text Char"/>
    <w:basedOn w:val="DefaultParagraphFont"/>
    <w:link w:val="BalloonText"/>
    <w:semiHidden/>
    <w:rsid w:val="00A37CEF"/>
    <w:rPr>
      <w:rFonts w:ascii="Tahoma" w:eastAsia="SimSun" w:hAnsi="Tahoma" w:cs="Tahoma"/>
      <w:kern w:val="0"/>
      <w:sz w:val="16"/>
      <w:szCs w:val="16"/>
      <w14:ligatures w14:val="none"/>
    </w:rPr>
  </w:style>
  <w:style w:type="paragraph" w:customStyle="1" w:styleId="CRCoverPage">
    <w:name w:val="CR Cover Page"/>
    <w:rsid w:val="00A37CEF"/>
    <w:pPr>
      <w:spacing w:after="120" w:line="240" w:lineRule="auto"/>
    </w:pPr>
    <w:rPr>
      <w:rFonts w:ascii="Arial" w:eastAsia="MS Mincho" w:hAnsi="Arial" w:cs="Times New Roman"/>
      <w:kern w:val="0"/>
      <w:sz w:val="20"/>
      <w:szCs w:val="20"/>
      <w:lang w:val="en-GB"/>
      <w14:ligatures w14:val="none"/>
    </w:rPr>
  </w:style>
  <w:style w:type="character" w:customStyle="1" w:styleId="Heading1Char1">
    <w:name w:val="Heading 1 Char1"/>
    <w:link w:val="Heading1"/>
    <w:rsid w:val="00A37CEF"/>
    <w:rPr>
      <w:rFonts w:ascii="Arial" w:eastAsia="SimSun" w:hAnsi="Arial" w:cs="Times New Roman"/>
      <w:kern w:val="0"/>
      <w:sz w:val="36"/>
      <w:szCs w:val="20"/>
      <w:lang w:val="en-GB"/>
      <w14:ligatures w14:val="none"/>
    </w:rPr>
  </w:style>
  <w:style w:type="character" w:customStyle="1" w:styleId="CharChar3">
    <w:name w:val="Char Char3"/>
    <w:rsid w:val="00A37CEF"/>
    <w:rPr>
      <w:rFonts w:ascii="Arial" w:hAnsi="Arial"/>
      <w:sz w:val="36"/>
      <w:lang w:val="en-GB" w:eastAsia="en-US" w:bidi="ar-SA"/>
    </w:rPr>
  </w:style>
  <w:style w:type="character" w:customStyle="1" w:styleId="CharChar2">
    <w:name w:val="Char Char2"/>
    <w:rsid w:val="00A37CEF"/>
    <w:rPr>
      <w:rFonts w:ascii="Arial" w:hAnsi="Arial"/>
      <w:sz w:val="32"/>
      <w:lang w:val="en-GB" w:eastAsia="en-US" w:bidi="ar-SA"/>
    </w:rPr>
  </w:style>
  <w:style w:type="character" w:customStyle="1" w:styleId="CharChar1">
    <w:name w:val="Char Char1"/>
    <w:rsid w:val="00A37CEF"/>
    <w:rPr>
      <w:rFonts w:ascii="Arial" w:hAnsi="Arial"/>
      <w:sz w:val="28"/>
      <w:lang w:val="en-GB" w:eastAsia="en-US" w:bidi="ar-SA"/>
    </w:rPr>
  </w:style>
  <w:style w:type="character" w:customStyle="1" w:styleId="h4CharChar">
    <w:name w:val="h4 Char Char"/>
    <w:rsid w:val="00A37CEF"/>
    <w:rPr>
      <w:rFonts w:ascii="Arial" w:hAnsi="Arial"/>
      <w:sz w:val="24"/>
      <w:lang w:val="en-GB" w:eastAsia="en-US" w:bidi="ar-SA"/>
    </w:rPr>
  </w:style>
  <w:style w:type="character" w:customStyle="1" w:styleId="CharChar">
    <w:name w:val="Char Char"/>
    <w:rsid w:val="00A37CEF"/>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37CEF"/>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A37CEF"/>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A37CEF"/>
    <w:pPr>
      <w:spacing w:after="60"/>
      <w:jc w:val="center"/>
      <w:outlineLvl w:val="1"/>
    </w:pPr>
    <w:rPr>
      <w:rFonts w:ascii="Cambria" w:hAnsi="Cambria"/>
      <w:sz w:val="24"/>
      <w:szCs w:val="24"/>
    </w:rPr>
  </w:style>
  <w:style w:type="character" w:customStyle="1" w:styleId="SubtitleChar">
    <w:name w:val="Subtitle Char"/>
    <w:basedOn w:val="DefaultParagraphFont"/>
    <w:link w:val="Subtitle"/>
    <w:rsid w:val="00A37CEF"/>
    <w:rPr>
      <w:rFonts w:ascii="Cambria" w:eastAsia="SimSun" w:hAnsi="Cambria" w:cs="Times New Roman"/>
      <w:kern w:val="0"/>
      <w:sz w:val="24"/>
      <w:szCs w:val="24"/>
      <w14:ligatures w14:val="none"/>
    </w:rPr>
  </w:style>
  <w:style w:type="paragraph" w:styleId="Revision">
    <w:name w:val="Revision"/>
    <w:hidden/>
    <w:uiPriority w:val="99"/>
    <w:semiHidden/>
    <w:rsid w:val="00A37CEF"/>
    <w:pPr>
      <w:spacing w:after="0" w:line="240" w:lineRule="auto"/>
    </w:pPr>
    <w:rPr>
      <w:rFonts w:ascii="Times New Roman" w:eastAsia="SimSun" w:hAnsi="Times New Roman" w:cs="Times New Roman"/>
      <w:kern w:val="0"/>
      <w:sz w:val="20"/>
      <w:szCs w:val="20"/>
      <w:lang w:val="en-GB"/>
      <w14:ligatures w14:val="none"/>
    </w:rPr>
  </w:style>
  <w:style w:type="paragraph" w:styleId="NormalWeb">
    <w:name w:val="Normal (Web)"/>
    <w:basedOn w:val="Normal"/>
    <w:uiPriority w:val="99"/>
    <w:unhideWhenUsed/>
    <w:rsid w:val="00A37CEF"/>
    <w:pPr>
      <w:overflowPunct/>
      <w:autoSpaceDE/>
      <w:autoSpaceDN/>
      <w:adjustRightInd/>
      <w:spacing w:before="100" w:beforeAutospacing="1" w:after="100" w:afterAutospacing="1"/>
      <w:textAlignment w:val="auto"/>
    </w:pPr>
    <w:rPr>
      <w:sz w:val="24"/>
      <w:szCs w:val="24"/>
    </w:rPr>
  </w:style>
  <w:style w:type="paragraph" w:customStyle="1" w:styleId="LGTdoc">
    <w:name w:val="LGTdoc_본문"/>
    <w:basedOn w:val="Normal"/>
    <w:link w:val="LGTdocChar"/>
    <w:qFormat/>
    <w:rsid w:val="00A37CE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A37CE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A37CE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A37CEF"/>
    <w:rPr>
      <w:color w:val="808080"/>
    </w:rPr>
  </w:style>
  <w:style w:type="character" w:customStyle="1" w:styleId="TACChar">
    <w:name w:val="TAC Char"/>
    <w:link w:val="TAC"/>
    <w:qFormat/>
    <w:rsid w:val="00A37CEF"/>
    <w:rPr>
      <w:rFonts w:ascii="Arial" w:eastAsia="SimSun" w:hAnsi="Arial" w:cs="Times New Roman"/>
      <w:kern w:val="0"/>
      <w:sz w:val="18"/>
      <w:szCs w:val="20"/>
      <w14:ligatures w14:val="none"/>
    </w:rPr>
  </w:style>
  <w:style w:type="character" w:customStyle="1" w:styleId="THChar">
    <w:name w:val="TH Char"/>
    <w:link w:val="TH"/>
    <w:qFormat/>
    <w:rsid w:val="00A37CEF"/>
    <w:rPr>
      <w:rFonts w:ascii="Arial" w:eastAsia="SimSun" w:hAnsi="Arial" w:cs="Times New Roman"/>
      <w:b/>
      <w:kern w:val="0"/>
      <w:sz w:val="20"/>
      <w:szCs w:val="20"/>
      <w14:ligatures w14:val="none"/>
    </w:rPr>
  </w:style>
  <w:style w:type="character" w:styleId="Hyperlink">
    <w:name w:val="Hyperlink"/>
    <w:uiPriority w:val="99"/>
    <w:rsid w:val="00A37CEF"/>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A37CEF"/>
    <w:rPr>
      <w:rFonts w:ascii="Calibri" w:eastAsia="Calibri" w:hAnsi="Calibri" w:cs="Times New Roman"/>
      <w:kern w:val="0"/>
      <w14:ligatures w14:val="none"/>
    </w:rPr>
  </w:style>
  <w:style w:type="paragraph" w:customStyle="1" w:styleId="References">
    <w:name w:val="References"/>
    <w:basedOn w:val="Normal"/>
    <w:qFormat/>
    <w:rsid w:val="00A37CEF"/>
    <w:pPr>
      <w:numPr>
        <w:numId w:val="4"/>
      </w:numPr>
      <w:overflowPunct/>
      <w:adjustRightInd/>
      <w:snapToGrid w:val="0"/>
      <w:spacing w:after="60"/>
      <w:jc w:val="both"/>
      <w:textAlignment w:val="auto"/>
    </w:pPr>
    <w:rPr>
      <w:szCs w:val="16"/>
    </w:rPr>
  </w:style>
  <w:style w:type="character" w:customStyle="1" w:styleId="bodyChar">
    <w:name w:val="body Char"/>
    <w:link w:val="body"/>
    <w:rsid w:val="00A37CEF"/>
    <w:rPr>
      <w:rFonts w:ascii="New York" w:eastAsia="SimSun" w:hAnsi="New York" w:cs="Times New Roman"/>
      <w:kern w:val="0"/>
      <w:sz w:val="24"/>
      <w:szCs w:val="20"/>
      <w14:ligatures w14:val="none"/>
    </w:rPr>
  </w:style>
  <w:style w:type="character" w:customStyle="1" w:styleId="apple-converted-space">
    <w:name w:val="apple-converted-space"/>
    <w:basedOn w:val="DefaultParagraphFont"/>
    <w:rsid w:val="00A37CEF"/>
  </w:style>
  <w:style w:type="paragraph" w:customStyle="1" w:styleId="TdocHeader2">
    <w:name w:val="Tdoc_Header_2"/>
    <w:basedOn w:val="Normal"/>
    <w:rsid w:val="00A37CEF"/>
    <w:pPr>
      <w:widowControl w:val="0"/>
      <w:tabs>
        <w:tab w:val="left" w:pos="1440"/>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character" w:customStyle="1" w:styleId="B1Char1">
    <w:name w:val="B1 Char1"/>
    <w:link w:val="B1"/>
    <w:locked/>
    <w:rsid w:val="00A37CEF"/>
    <w:rPr>
      <w:rFonts w:ascii="Times New Roman" w:eastAsia="SimSun" w:hAnsi="Times New Roman" w:cs="Times New Roman"/>
      <w:kern w:val="0"/>
      <w:sz w:val="20"/>
      <w:szCs w:val="20"/>
      <w14:ligatures w14:val="none"/>
    </w:rPr>
  </w:style>
  <w:style w:type="character" w:customStyle="1" w:styleId="B1Zchn">
    <w:name w:val="B1 Zchn"/>
    <w:qFormat/>
    <w:locked/>
    <w:rsid w:val="00A37CEF"/>
    <w:rPr>
      <w:lang w:val="en-GB" w:eastAsia="en-US"/>
    </w:rPr>
  </w:style>
  <w:style w:type="character" w:customStyle="1" w:styleId="TAHCar">
    <w:name w:val="TAH Car"/>
    <w:link w:val="TAH"/>
    <w:qFormat/>
    <w:locked/>
    <w:rsid w:val="00A37CEF"/>
    <w:rPr>
      <w:rFonts w:ascii="Arial" w:eastAsia="SimSun" w:hAnsi="Arial" w:cs="Times New Roman"/>
      <w:b/>
      <w:kern w:val="0"/>
      <w:sz w:val="18"/>
      <w:szCs w:val="20"/>
      <w14:ligatures w14:val="none"/>
    </w:rPr>
  </w:style>
  <w:style w:type="character" w:customStyle="1" w:styleId="B10">
    <w:name w:val="B1 (文字)"/>
    <w:qFormat/>
    <w:rsid w:val="00A37CEF"/>
    <w:rPr>
      <w:rFonts w:eastAsia="MS Mincho"/>
      <w:lang w:val="en-GB" w:eastAsia="en-US" w:bidi="ar-SA"/>
    </w:rPr>
  </w:style>
  <w:style w:type="character" w:customStyle="1" w:styleId="B2Char">
    <w:name w:val="B2 Char"/>
    <w:basedOn w:val="DefaultParagraphFont"/>
    <w:link w:val="B2"/>
    <w:qFormat/>
    <w:locked/>
    <w:rsid w:val="00A37CEF"/>
    <w:rPr>
      <w:rFonts w:ascii="Times New Roman" w:eastAsia="SimSun" w:hAnsi="Times New Roman" w:cs="Times New Roman"/>
      <w:kern w:val="0"/>
      <w:sz w:val="20"/>
      <w:szCs w:val="20"/>
      <w14:ligatures w14:val="none"/>
    </w:rPr>
  </w:style>
  <w:style w:type="paragraph" w:customStyle="1" w:styleId="textintend3">
    <w:name w:val="text intend 3"/>
    <w:basedOn w:val="text"/>
    <w:rsid w:val="00A37CEF"/>
    <w:pPr>
      <w:numPr>
        <w:numId w:val="5"/>
      </w:numPr>
      <w:spacing w:after="120"/>
    </w:pPr>
    <w:rPr>
      <w:rFonts w:eastAsia="MS Mincho"/>
      <w:lang w:eastAsia="en-GB"/>
    </w:rPr>
  </w:style>
  <w:style w:type="character" w:customStyle="1" w:styleId="B3Char">
    <w:name w:val="B3 Char"/>
    <w:link w:val="B3"/>
    <w:rsid w:val="00A37CEF"/>
    <w:rPr>
      <w:rFonts w:ascii="Times New Roman" w:eastAsia="SimSun" w:hAnsi="Times New Roman" w:cs="Times New Roman"/>
      <w:kern w:val="0"/>
      <w:sz w:val="20"/>
      <w:szCs w:val="20"/>
      <w14:ligatures w14:val="none"/>
    </w:rPr>
  </w:style>
  <w:style w:type="paragraph" w:customStyle="1" w:styleId="MTDisplayEquation">
    <w:name w:val="MTDisplayEquation"/>
    <w:basedOn w:val="Normal"/>
    <w:next w:val="Normal"/>
    <w:link w:val="MTDisplayEquationChar"/>
    <w:rsid w:val="00A37CEF"/>
    <w:pPr>
      <w:tabs>
        <w:tab w:val="center" w:pos="4680"/>
        <w:tab w:val="right" w:pos="9360"/>
      </w:tabs>
      <w:overflowPunct/>
      <w:autoSpaceDE/>
      <w:autoSpaceDN/>
      <w:adjustRightInd/>
      <w:spacing w:after="160" w:line="259" w:lineRule="auto"/>
      <w:textAlignment w:val="auto"/>
    </w:pPr>
    <w:rPr>
      <w:rFonts w:asciiTheme="minorHAnsi" w:eastAsiaTheme="minorEastAsia" w:hAnsiTheme="minorHAnsi" w:cstheme="minorBidi"/>
      <w:sz w:val="22"/>
      <w:szCs w:val="22"/>
      <w:lang w:eastAsia="zh-CN"/>
    </w:rPr>
  </w:style>
  <w:style w:type="character" w:customStyle="1" w:styleId="MTDisplayEquationChar">
    <w:name w:val="MTDisplayEquation Char"/>
    <w:basedOn w:val="DefaultParagraphFont"/>
    <w:link w:val="MTDisplayEquation"/>
    <w:rsid w:val="00A37CEF"/>
    <w:rPr>
      <w:rFonts w:eastAsiaTheme="minorEastAsia"/>
      <w:kern w:val="0"/>
      <w:lang w:eastAsia="zh-CN"/>
      <w14:ligatures w14:val="none"/>
    </w:rPr>
  </w:style>
  <w:style w:type="paragraph" w:styleId="PlainText">
    <w:name w:val="Plain Text"/>
    <w:basedOn w:val="Normal"/>
    <w:link w:val="PlainTextChar"/>
    <w:uiPriority w:val="99"/>
    <w:semiHidden/>
    <w:unhideWhenUsed/>
    <w:rsid w:val="00A37CEF"/>
    <w:pPr>
      <w:overflowPunct/>
      <w:autoSpaceDE/>
      <w:autoSpaceDN/>
      <w:adjustRightInd/>
      <w:spacing w:after="0"/>
      <w:textAlignment w:val="auto"/>
    </w:pPr>
    <w:rPr>
      <w:rFonts w:ascii="Calibri" w:eastAsiaTheme="minorHAnsi" w:hAnsi="Calibri" w:cs="Calibri"/>
      <w:sz w:val="22"/>
      <w:szCs w:val="22"/>
      <w:lang w:eastAsia="zh-CN"/>
    </w:rPr>
  </w:style>
  <w:style w:type="character" w:customStyle="1" w:styleId="PlainTextChar">
    <w:name w:val="Plain Text Char"/>
    <w:basedOn w:val="DefaultParagraphFont"/>
    <w:link w:val="PlainText"/>
    <w:uiPriority w:val="99"/>
    <w:semiHidden/>
    <w:rsid w:val="00A37CEF"/>
    <w:rPr>
      <w:rFonts w:ascii="Calibri" w:hAnsi="Calibri" w:cs="Calibri"/>
      <w:kern w:val="0"/>
      <w:lang w:eastAsia="zh-CN"/>
      <w14:ligatures w14:val="none"/>
    </w:rPr>
  </w:style>
  <w:style w:type="character" w:customStyle="1" w:styleId="EQChar">
    <w:name w:val="EQ Char"/>
    <w:basedOn w:val="DefaultParagraphFont"/>
    <w:link w:val="EQ"/>
    <w:uiPriority w:val="99"/>
    <w:locked/>
    <w:rsid w:val="00A37CEF"/>
    <w:rPr>
      <w:rFonts w:ascii="Times New Roman" w:eastAsia="SimSun" w:hAnsi="Times New Roman" w:cs="Times New Roman"/>
      <w:noProof/>
      <w:kern w:val="0"/>
      <w:sz w:val="20"/>
      <w:szCs w:val="20"/>
      <w14:ligatures w14:val="none"/>
    </w:rPr>
  </w:style>
  <w:style w:type="character" w:customStyle="1" w:styleId="LGTdocChar">
    <w:name w:val="LGTdoc_본문 Char"/>
    <w:link w:val="LGTdoc"/>
    <w:qFormat/>
    <w:rsid w:val="00A37CEF"/>
    <w:rPr>
      <w:rFonts w:ascii="Times New Roman" w:eastAsia="Batang" w:hAnsi="Times New Roman" w:cs="Times New Roman"/>
      <w:szCs w:val="24"/>
      <w:lang w:eastAsia="ko-KR"/>
      <w14:ligatures w14:val="none"/>
    </w:rPr>
  </w:style>
  <w:style w:type="paragraph" w:customStyle="1" w:styleId="Style1">
    <w:name w:val="Style1"/>
    <w:basedOn w:val="Normal"/>
    <w:link w:val="Style1Char"/>
    <w:qFormat/>
    <w:rsid w:val="00A37CEF"/>
    <w:pPr>
      <w:overflowPunct/>
      <w:autoSpaceDE/>
      <w:autoSpaceDN/>
      <w:adjustRightInd/>
      <w:spacing w:after="100" w:afterAutospacing="1" w:line="300" w:lineRule="auto"/>
      <w:ind w:firstLine="360"/>
      <w:contextualSpacing/>
      <w:jc w:val="both"/>
      <w:textAlignment w:val="auto"/>
    </w:pPr>
    <w:rPr>
      <w:lang w:eastAsia="zh-CN"/>
    </w:rPr>
  </w:style>
  <w:style w:type="character" w:customStyle="1" w:styleId="Style1Char">
    <w:name w:val="Style1 Char"/>
    <w:link w:val="Style1"/>
    <w:qFormat/>
    <w:rsid w:val="00A37CEF"/>
    <w:rPr>
      <w:rFonts w:ascii="Times New Roman" w:eastAsia="SimSun" w:hAnsi="Times New Roman" w:cs="Times New Roman"/>
      <w:kern w:val="0"/>
      <w:sz w:val="20"/>
      <w:szCs w:val="20"/>
      <w:lang w:eastAsia="zh-CN"/>
      <w14:ligatures w14:val="none"/>
    </w:rPr>
  </w:style>
  <w:style w:type="character" w:customStyle="1" w:styleId="TALChar">
    <w:name w:val="TAL Char"/>
    <w:link w:val="TAL"/>
    <w:rsid w:val="00A37CEF"/>
    <w:rPr>
      <w:rFonts w:ascii="Arial" w:eastAsia="SimSun" w:hAnsi="Arial" w:cs="Times New Roman"/>
      <w:kern w:val="0"/>
      <w:sz w:val="18"/>
      <w:szCs w:val="20"/>
      <w14:ligatures w14:val="none"/>
    </w:rPr>
  </w:style>
  <w:style w:type="character" w:styleId="UnresolvedMention">
    <w:name w:val="Unresolved Mention"/>
    <w:basedOn w:val="DefaultParagraphFont"/>
    <w:uiPriority w:val="99"/>
    <w:semiHidden/>
    <w:unhideWhenUsed/>
    <w:rsid w:val="00A37CEF"/>
    <w:rPr>
      <w:color w:val="605E5C"/>
      <w:shd w:val="clear" w:color="auto" w:fill="E1DFDD"/>
    </w:rPr>
  </w:style>
  <w:style w:type="paragraph" w:customStyle="1" w:styleId="xmsonormal">
    <w:name w:val="xmsonormal"/>
    <w:basedOn w:val="Normal"/>
    <w:rsid w:val="00A37CEF"/>
    <w:pPr>
      <w:overflowPunct/>
      <w:autoSpaceDE/>
      <w:autoSpaceDN/>
      <w:adjustRightInd/>
      <w:spacing w:after="0"/>
      <w:textAlignment w:val="auto"/>
    </w:pPr>
    <w:rPr>
      <w:rFonts w:ascii="SimSun" w:hAnsi="SimSun" w:cs="SimSun"/>
      <w:sz w:val="24"/>
      <w:szCs w:val="22"/>
      <w:lang w:eastAsia="zh-CN"/>
    </w:rPr>
  </w:style>
  <w:style w:type="character" w:customStyle="1" w:styleId="B1Char">
    <w:name w:val="B1 Char"/>
    <w:rsid w:val="00A37CEF"/>
    <w:rPr>
      <w:lang w:val="en-GB" w:eastAsia="en-US"/>
    </w:rPr>
  </w:style>
  <w:style w:type="table" w:styleId="GridTable4-Accent5">
    <w:name w:val="Grid Table 4 Accent 5"/>
    <w:basedOn w:val="TableNormal"/>
    <w:uiPriority w:val="49"/>
    <w:rsid w:val="00A37CEF"/>
    <w:pPr>
      <w:spacing w:after="0" w:line="240" w:lineRule="auto"/>
    </w:pPr>
    <w:rPr>
      <w:rFonts w:ascii="CG Times (WN)" w:eastAsia="SimSun" w:hAnsi="CG Times (WN)" w:cs="Times New Roman"/>
      <w:kern w:val="0"/>
      <w:sz w:val="20"/>
      <w:szCs w:val="20"/>
      <w:lang w:eastAsia="zh-CN"/>
      <w14:ligatures w14:val="none"/>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Guidance">
    <w:name w:val="Guidance"/>
    <w:basedOn w:val="Normal"/>
    <w:qFormat/>
    <w:rsid w:val="00A37CEF"/>
    <w:pPr>
      <w:overflowPunct/>
      <w:autoSpaceDE/>
      <w:autoSpaceDN/>
      <w:adjustRightInd/>
      <w:textAlignment w:val="auto"/>
    </w:pPr>
    <w:rPr>
      <w:rFonts w:eastAsia="DengXian"/>
      <w:i/>
      <w:color w:val="0000FF"/>
      <w:lang w:val="en-GB"/>
    </w:rPr>
  </w:style>
  <w:style w:type="character" w:customStyle="1" w:styleId="CaptionChar">
    <w:name w:val="Caption Char"/>
    <w:aliases w:val="cap Char"/>
    <w:basedOn w:val="DefaultParagraphFont"/>
    <w:link w:val="Caption"/>
    <w:qFormat/>
    <w:rsid w:val="00A37CEF"/>
    <w:rPr>
      <w:rFonts w:ascii="Times New Roman" w:eastAsia="SimSun" w:hAnsi="Times New Roman" w:cs="Times New Roman"/>
      <w:b/>
      <w:bCs/>
      <w:kern w:val="0"/>
      <w:sz w:val="20"/>
      <w:szCs w:val="20"/>
      <w14:ligatures w14:val="none"/>
    </w:rPr>
  </w:style>
  <w:style w:type="paragraph" w:customStyle="1" w:styleId="pf0">
    <w:name w:val="pf0"/>
    <w:basedOn w:val="Normal"/>
    <w:rsid w:val="00A37CEF"/>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cf01">
    <w:name w:val="cf01"/>
    <w:basedOn w:val="DefaultParagraphFont"/>
    <w:rsid w:val="00A37CEF"/>
    <w:rPr>
      <w:rFonts w:ascii="Segoe UI" w:hAnsi="Segoe UI" w:cs="Segoe UI" w:hint="default"/>
      <w:sz w:val="18"/>
      <w:szCs w:val="18"/>
    </w:rPr>
  </w:style>
  <w:style w:type="paragraph" w:customStyle="1" w:styleId="paragraph">
    <w:name w:val="paragraph"/>
    <w:basedOn w:val="Normal"/>
    <w:rsid w:val="00A37CEF"/>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wacimagecontainer">
    <w:name w:val="wacimagecontainer"/>
    <w:basedOn w:val="DefaultParagraphFont"/>
    <w:rsid w:val="00A37CEF"/>
  </w:style>
  <w:style w:type="character" w:customStyle="1" w:styleId="eop">
    <w:name w:val="eop"/>
    <w:basedOn w:val="DefaultParagraphFont"/>
    <w:rsid w:val="00A37CEF"/>
  </w:style>
  <w:style w:type="character" w:customStyle="1" w:styleId="normaltextrun">
    <w:name w:val="normaltextrun"/>
    <w:basedOn w:val="DefaultParagraphFont"/>
    <w:rsid w:val="00A37CEF"/>
  </w:style>
  <w:style w:type="character" w:customStyle="1" w:styleId="scxp37309694">
    <w:name w:val="scxp37309694"/>
    <w:basedOn w:val="DefaultParagraphFont"/>
    <w:rsid w:val="00D25E76"/>
  </w:style>
  <w:style w:type="character" w:customStyle="1" w:styleId="singleunderline">
    <w:name w:val="singleunderline"/>
    <w:basedOn w:val="DefaultParagraphFont"/>
    <w:rsid w:val="00D25E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64268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1416</TotalTime>
  <Pages>4</Pages>
  <Words>1869</Words>
  <Characters>10658</Characters>
  <Application>Microsoft Office Word</Application>
  <DocSecurity>0</DocSecurity>
  <Lines>88</Lines>
  <Paragraphs>25</Paragraphs>
  <ScaleCrop>false</ScaleCrop>
  <Company>Qualcomm Incorporated</Company>
  <LinksUpToDate>false</LinksUpToDate>
  <CharactersWithSpaces>12502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(Mustafa Emara)</dc:creator>
  <cp:keywords/>
  <dc:description/>
  <cp:lastModifiedBy>Qualcomm (Mustafa Emara)</cp:lastModifiedBy>
  <cp:revision>400</cp:revision>
  <dcterms:created xsi:type="dcterms:W3CDTF">2024-03-19T10:25:00Z</dcterms:created>
  <dcterms:modified xsi:type="dcterms:W3CDTF">2024-08-08T12:04:00Z</dcterms:modified>
</cp:coreProperties>
</file>